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bCs/>
          <w:sz w:val="44"/>
          <w:szCs w:val="44"/>
        </w:rPr>
      </w:pPr>
      <w:r>
        <w:rPr>
          <w:rFonts w:hint="eastAsia" w:ascii="仿宋" w:hAnsi="仿宋" w:eastAsia="仿宋" w:cs="仿宋"/>
          <w:b/>
          <w:bCs/>
          <w:sz w:val="44"/>
          <w:szCs w:val="44"/>
        </w:rPr>
        <w:t>某</w:t>
      </w:r>
      <w:r>
        <w:rPr>
          <w:rFonts w:hint="eastAsia" w:ascii="仿宋" w:hAnsi="仿宋" w:eastAsia="仿宋" w:cs="仿宋"/>
          <w:b/>
          <w:bCs/>
          <w:sz w:val="44"/>
          <w:szCs w:val="44"/>
          <w:lang w:val="en-US" w:eastAsia="zh-CN"/>
        </w:rPr>
        <w:t>大型</w:t>
      </w:r>
      <w:r>
        <w:rPr>
          <w:rFonts w:hint="eastAsia" w:ascii="仿宋" w:hAnsi="仿宋" w:eastAsia="仿宋" w:cs="仿宋"/>
          <w:b/>
          <w:bCs/>
          <w:sz w:val="44"/>
          <w:szCs w:val="44"/>
        </w:rPr>
        <w:t>垃圾焚烧电厂全过程</w:t>
      </w:r>
      <w:r>
        <w:rPr>
          <w:rFonts w:hint="eastAsia" w:ascii="仿宋" w:hAnsi="仿宋" w:eastAsia="仿宋" w:cs="仿宋"/>
          <w:b/>
          <w:bCs/>
          <w:sz w:val="44"/>
          <w:szCs w:val="44"/>
          <w:lang w:val="en-US" w:eastAsia="zh-CN"/>
        </w:rPr>
        <w:t>工程</w:t>
      </w:r>
      <w:r>
        <w:rPr>
          <w:rFonts w:hint="eastAsia" w:ascii="仿宋" w:hAnsi="仿宋" w:eastAsia="仿宋" w:cs="仿宋"/>
          <w:b/>
          <w:bCs/>
          <w:sz w:val="44"/>
          <w:szCs w:val="44"/>
        </w:rPr>
        <w:t>咨询</w:t>
      </w:r>
    </w:p>
    <w:p>
      <w:pPr>
        <w:keepNext w:val="0"/>
        <w:keepLines w:val="0"/>
        <w:pageBreakBefore w:val="0"/>
        <w:widowControl w:val="0"/>
        <w:kinsoku/>
        <w:wordWrap/>
        <w:overflowPunct/>
        <w:topLinePunct w:val="0"/>
        <w:autoSpaceDE/>
        <w:autoSpaceDN/>
        <w:bidi w:val="0"/>
        <w:adjustRightInd/>
        <w:snapToGrid/>
        <w:spacing w:line="288" w:lineRule="auto"/>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——江苏兴光项目管理有限公司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jc w:val="center"/>
        <w:textAlignment w:val="auto"/>
        <w:rPr>
          <w:rFonts w:hint="eastAsia" w:ascii="仿宋" w:hAnsi="仿宋" w:eastAsia="仿宋" w:cs="仿宋"/>
          <w:sz w:val="28"/>
          <w:szCs w:val="28"/>
        </w:rPr>
      </w:pPr>
      <w:r>
        <w:rPr>
          <w:rFonts w:hint="eastAsia" w:ascii="仿宋" w:hAnsi="仿宋" w:eastAsia="仿宋" w:cs="仿宋"/>
          <w:sz w:val="28"/>
          <w:szCs w:val="28"/>
        </w:rPr>
        <w:t>陈红星  徐德彩</w:t>
      </w:r>
      <w:bookmarkStart w:id="6" w:name="_GoBack"/>
      <w:bookmarkEnd w:id="6"/>
    </w:p>
    <w:p>
      <w:pPr>
        <w:pStyle w:val="13"/>
        <w:keepNext w:val="0"/>
        <w:keepLines w:val="0"/>
        <w:pageBreakBefore w:val="0"/>
        <w:kinsoku/>
        <w:wordWrap/>
        <w:overflowPunct/>
        <w:topLinePunct w:val="0"/>
        <w:autoSpaceDE/>
        <w:autoSpaceDN/>
        <w:bidi w:val="0"/>
        <w:spacing w:line="360" w:lineRule="auto"/>
        <w:ind w:left="0" w:leftChars="0" w:firstLine="0" w:firstLineChars="0"/>
        <w:jc w:val="both"/>
        <w:outlineLvl w:val="0"/>
        <w:rPr>
          <w:rFonts w:hint="eastAsia" w:ascii="仿宋" w:hAnsi="仿宋" w:eastAsia="仿宋" w:cs="仿宋"/>
          <w:b/>
          <w:bCs/>
          <w:sz w:val="32"/>
          <w:szCs w:val="32"/>
        </w:rPr>
      </w:pPr>
      <w:r>
        <w:rPr>
          <w:rFonts w:hint="eastAsia" w:ascii="仿宋" w:hAnsi="仿宋" w:eastAsia="仿宋" w:cs="仿宋"/>
          <w:b/>
          <w:bCs/>
          <w:sz w:val="32"/>
          <w:szCs w:val="32"/>
        </w:rPr>
        <w:t>一、项目基本概况</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2"/>
        <w:jc w:val="left"/>
        <w:outlineLvl w:val="1"/>
        <w:rPr>
          <w:rFonts w:hint="eastAsia" w:ascii="仿宋" w:hAnsi="仿宋" w:eastAsia="仿宋" w:cs="仿宋"/>
          <w:b/>
          <w:sz w:val="24"/>
          <w:szCs w:val="24"/>
        </w:rPr>
      </w:pPr>
      <w:r>
        <w:rPr>
          <w:rFonts w:hint="eastAsia" w:ascii="仿宋" w:hAnsi="仿宋" w:eastAsia="仿宋" w:cs="仿宋"/>
          <w:b/>
          <w:sz w:val="24"/>
          <w:szCs w:val="24"/>
        </w:rPr>
        <w:t>1．项目概况</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某垃圾焚烧发电工程处理规模确定为3800吨/日，建设5条850吨/日垃圾焚烧生产线，每条垃圾焚烧生产线配置一套烟气净化系统，余热锅炉产出的蒸汽供3台45MW凝汽式汽轮发机，配3台50MW发电机。应急填埋场总填埋库容300万㎥。项目采用目前世界一流的技术和高标准进行建设，烟气排放达到并优于欧盟最新标准。焚烧炉、余热锅炉、烟气净化系统关键设备采用国际先进设备。全厂采用最先进的自动控制技术，设备运行状态进行全过程监控，确保设备可靠、安全运行。厂区内配套建设绿化景观、参观休闲、科普教育等去工业化、环境友好设施，强化环境恶臭控制措施，提高环境恶臭控制水平，使之成为“生产、办公、生活、教育、旅游”五位一体的亲民示范项目。</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工程主要系统包括：垃圾焚烧和发电系统、垃圾接收及供料系统、除灰渣系统、水处理系统、供排水系统、电气系统、热工控制系统和配套的附属生产系统（不含渗滤液处理系统）等。另外与厂址有关的单项工程：包括厂区内的工程、垃圾填埋场工程、厂区外的工程、地基处理工程、厂区和施工区土石方工程、临时工程及特殊项目工程等。</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本工程地理位置，东北、东南两面环山，占地面积约为120766㎡。拟建场地原始地貌为低丘、台地。厂址东、南、北三侧为低丘台地，地势较高，中间为平地，地势较低，地面高程一般为36.51～50.02m。地震设防烈度为7度。</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8"/>
          <w:szCs w:val="28"/>
        </w:rPr>
      </w:pPr>
      <w:r>
        <w:rPr>
          <w:rFonts w:hint="eastAsia" w:ascii="仿宋" w:hAnsi="仿宋" w:eastAsia="仿宋" w:cs="仿宋"/>
          <w:sz w:val="24"/>
          <w:szCs w:val="24"/>
        </w:rPr>
        <w:t>该工程系目前国内建设规模最大、装备水平最高、建筑整体形象最优的大型生活垃圾焚烧发电厂</w:t>
      </w:r>
      <w:r>
        <w:rPr>
          <w:rFonts w:hint="eastAsia" w:ascii="仿宋" w:hAnsi="仿宋" w:eastAsia="仿宋" w:cs="仿宋"/>
          <w:sz w:val="24"/>
          <w:szCs w:val="24"/>
          <w:lang w:eastAsia="zh-CN"/>
        </w:rPr>
        <w:t>，</w:t>
      </w:r>
      <w:r>
        <w:rPr>
          <w:rFonts w:hint="eastAsia" w:ascii="仿宋" w:hAnsi="仿宋" w:eastAsia="仿宋" w:cs="仿宋"/>
          <w:sz w:val="24"/>
          <w:szCs w:val="24"/>
        </w:rPr>
        <w:t>本项目总投资约为336700万元，2015 年年底场平动工，预计2019年底全部建设完成。</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b/>
          <w:sz w:val="24"/>
          <w:szCs w:val="24"/>
        </w:rPr>
      </w:pPr>
      <w:r>
        <w:rPr>
          <w:rFonts w:hint="eastAsia" w:ascii="仿宋" w:hAnsi="仿宋" w:eastAsia="仿宋" w:cs="仿宋"/>
          <w:b/>
          <w:sz w:val="24"/>
          <w:szCs w:val="24"/>
        </w:rPr>
        <w:t xml:space="preserve">项目特点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0"/>
        <w:outlineLvl w:val="1"/>
        <w:rPr>
          <w:rFonts w:hint="eastAsia" w:ascii="仿宋" w:hAnsi="仿宋" w:eastAsia="仿宋" w:cs="仿宋"/>
          <w:sz w:val="24"/>
          <w:szCs w:val="24"/>
        </w:rPr>
      </w:pPr>
      <w:r>
        <w:rPr>
          <w:rFonts w:hint="eastAsia" w:ascii="仿宋" w:hAnsi="仿宋" w:eastAsia="仿宋" w:cs="仿宋"/>
          <w:sz w:val="24"/>
          <w:szCs w:val="24"/>
        </w:rPr>
        <w:t>该工程的主要特点有：</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（1）基础深，局部深度超过±0.00米以下20米，所有承台基础都有钢筋混凝土灌注桩；</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（2）施工场地狭窄，西边是公路，东边是山体，对工程设计及现场施工管理带来难度；</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（3）三边工程，对工程造价控制增加不可预测性。</w:t>
      </w:r>
    </w:p>
    <w:p>
      <w:pPr>
        <w:keepNext w:val="0"/>
        <w:keepLines w:val="0"/>
        <w:pageBreakBefore w:val="0"/>
        <w:kinsoku/>
        <w:wordWrap/>
        <w:overflowPunct/>
        <w:topLinePunct w:val="0"/>
        <w:autoSpaceDE/>
        <w:autoSpaceDN/>
        <w:bidi w:val="0"/>
        <w:adjustRightInd w:val="0"/>
        <w:snapToGrid w:val="0"/>
        <w:spacing w:line="360" w:lineRule="auto"/>
        <w:ind w:left="0" w:leftChars="0" w:firstLine="200"/>
        <w:rPr>
          <w:rFonts w:hint="eastAsia" w:ascii="仿宋" w:hAnsi="仿宋" w:eastAsia="仿宋" w:cs="仿宋"/>
          <w:sz w:val="24"/>
          <w:szCs w:val="24"/>
        </w:rPr>
      </w:pPr>
      <w:r>
        <w:rPr>
          <w:rFonts w:hint="eastAsia" w:ascii="仿宋" w:hAnsi="仿宋" w:eastAsia="仿宋" w:cs="仿宋"/>
          <w:sz w:val="24"/>
          <w:szCs w:val="24"/>
        </w:rPr>
        <w:t>上述项目特点，在咨询服务过程中，需综合考虑各方因素，协助建设单位有效推进项目实施。</w:t>
      </w:r>
    </w:p>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24"/>
          <w:szCs w:val="24"/>
        </w:rPr>
      </w:pPr>
    </w:p>
    <w:p>
      <w:pPr>
        <w:keepNext w:val="0"/>
        <w:keepLines w:val="0"/>
        <w:pageBreakBefore w:val="0"/>
        <w:numPr>
          <w:ilvl w:val="0"/>
          <w:numId w:val="2"/>
        </w:numPr>
        <w:kinsoku/>
        <w:wordWrap/>
        <w:overflowPunct/>
        <w:topLinePunct w:val="0"/>
        <w:autoSpaceDE/>
        <w:autoSpaceDN/>
        <w:bidi w:val="0"/>
        <w:spacing w:line="360" w:lineRule="auto"/>
        <w:ind w:left="0" w:left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咨询服务范围、组织模式及业主需要提供的工作成果</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sz w:val="24"/>
          <w:szCs w:val="24"/>
        </w:rPr>
      </w:pPr>
      <w:r>
        <w:rPr>
          <w:rFonts w:hint="eastAsia" w:ascii="仿宋" w:hAnsi="仿宋" w:eastAsia="仿宋" w:cs="仿宋"/>
          <w:b/>
          <w:bCs/>
          <w:sz w:val="24"/>
          <w:szCs w:val="24"/>
        </w:rPr>
        <w:t>1.咨询服务范围和组织模式</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本次咨询基于项目全过程管理，江苏兴光管理项目有限公司及江苏兴光会计师事务所成立联合咨询组驻场进行咨询服务，其中江苏兴光项目管理有限公司作为联合体的责任主体对项目的全过程咨询负责，项目组主要在技术、经济、管理、财务、法律等方面提供咨询。主要工作范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（1）审核项目的工程概算；</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（2）审核单位工程的招标清单和招标控制价；</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（3）施工阶段全过程跟踪造价咨询服务，同时根据工程进展，对造价咨询单位和业主提供的各项工程造价进行审核、并出具相应的审核报告；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（4）对前期工作及发生的费用进行审计，出具前期费用专项审计报告；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（5）对项目有关的成本费用发生过程进行监控并出具财务决算审计报告；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（6）在过程审计中对项目投入、施工、资金使用、监管等方面进行全面客观公正的评估，并将评估意见和建议体现在审计报告中；</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（7）关注建设过程中重大事项或潜在风险，及时向业主及上级审计部门反映汇报。</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sz w:val="24"/>
          <w:szCs w:val="24"/>
        </w:rPr>
      </w:pPr>
      <w:r>
        <w:rPr>
          <w:rFonts w:hint="eastAsia" w:ascii="仿宋" w:hAnsi="仿宋" w:eastAsia="仿宋" w:cs="仿宋"/>
          <w:b/>
          <w:bCs/>
          <w:sz w:val="24"/>
          <w:szCs w:val="24"/>
        </w:rPr>
        <w:t>2.咨询服务组织模式</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bCs/>
          <w:szCs w:val="21"/>
        </w:rPr>
      </w:pPr>
      <w:r>
        <w:rPr>
          <w:rFonts w:hint="eastAsia" w:ascii="仿宋" w:hAnsi="仿宋" w:eastAsia="仿宋" w:cs="仿宋"/>
          <w:sz w:val="24"/>
          <w:szCs w:val="24"/>
        </w:rPr>
        <w:t>根据项目特点和业主的要求，成立内部项目组织架构，</w:t>
      </w:r>
      <w:r>
        <w:rPr>
          <w:rFonts w:hint="eastAsia" w:ascii="仿宋" w:hAnsi="仿宋" w:eastAsia="仿宋" w:cs="仿宋"/>
          <w:kern w:val="0"/>
          <w:sz w:val="24"/>
        </w:rPr>
        <w:t>对业主委托的造价咨询单位和业主提供的各项工程造价进行审计、并出具相应的审计报告</w:t>
      </w: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21"/>
        </w:rPr>
      </w:pP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21"/>
        </w:rPr>
      </w:pP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21"/>
        </w:rPr>
      </w:pPr>
      <w:r>
        <w:rPr>
          <w:rFonts w:hint="eastAsia" w:ascii="仿宋" w:hAnsi="仿宋" w:eastAsia="仿宋" w:cs="仿宋"/>
          <w:sz w:val="21"/>
        </w:rPr>
        <w:pict>
          <v:group id="_x0000_s1051" o:spid="_x0000_s1051" o:spt="203" style="height:239.55pt;width:432pt;" coordsize="5486400,3042284" editas="canvas">
            <o:lock v:ext="edit"/>
            <v:shape id="_x0000_s1050" o:spid="_x0000_s1050" o:spt="75" type="#_x0000_t75" style="position:absolute;left:0;top:0;height:3042284;width:5486400;" filled="f" stroked="f" coordsize="21600,21600">
              <v:path/>
              <v:fill on="f" focussize="0,0"/>
              <v:stroke on="f"/>
              <v:imagedata o:title=""/>
              <o:lock v:ext="edit" aspectratio="f"/>
            </v:shape>
            <v:rect id="_x0000_s1053" o:spid="_x0000_s1053" o:spt="1" style="position:absolute;left:1017905;top:401320;height:298450;width:3598545;" fillcolor="#FFFFFF" filled="t" stroked="t" coordsize="21600,21600">
              <v:path/>
              <v:fill on="t" color2="#FFFFFF" focussize="0,0"/>
              <v:stroke color="#000000"/>
              <v:imagedata o:title=""/>
              <o:lock v:ext="edit" aspectratio="f"/>
              <v:textbox>
                <w:txbxContent>
                  <w:p>
                    <w:pPr>
                      <w:jc w:val="center"/>
                      <w:rPr>
                        <w:rFonts w:hint="eastAsia" w:eastAsiaTheme="minorEastAsia"/>
                        <w:lang w:eastAsia="zh-CN"/>
                      </w:rPr>
                    </w:pPr>
                    <w:r>
                      <w:rPr>
                        <w:rFonts w:hint="eastAsia"/>
                        <w:lang w:eastAsia="zh-CN"/>
                      </w:rPr>
                      <w:t>某垃圾焚烧发电厂全过程工程跟踪审计项目总部</w:t>
                    </w:r>
                  </w:p>
                </w:txbxContent>
              </v:textbox>
            </v:rect>
            <v:rect id="_x0000_s1054" o:spid="_x0000_s1054" o:spt="1" style="position:absolute;left:492760;top:952500;height:292100;width:1594485;"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工程审计项目部</w:t>
                    </w:r>
                  </w:p>
                </w:txbxContent>
              </v:textbox>
            </v:rect>
            <v:rect id="_x0000_s1055" o:spid="_x0000_s1055" o:spt="1" style="position:absolute;left:3343910;top:951230;height:292100;width:1587500;"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财务审计项目部</w:t>
                    </w:r>
                  </w:p>
                </w:txbxContent>
              </v:textbox>
            </v:rect>
            <v:rect id="_x0000_s1056" o:spid="_x0000_s1056" o:spt="1" style="position:absolute;left:493395;top:1533525;height:1338580;width:391160;" fillcolor="#FFFFFF" filled="t" stroked="t" coordsize="21600,21600">
              <v:path/>
              <v:fill on="t" color2="#FFFFFF" focussize="0,0"/>
              <v:stroke color="#000000" joinstyle="miter"/>
              <v:imagedata o:title=""/>
              <o:lock v:ext="edit" aspectratio="f"/>
              <v:textbox style="layout-flow:vertical-ideographic;">
                <w:txbxContent>
                  <w:p>
                    <w:pPr>
                      <w:jc w:val="center"/>
                      <w:rPr>
                        <w:rFonts w:hint="eastAsia" w:eastAsiaTheme="minorEastAsia"/>
                        <w:lang w:eastAsia="zh-CN"/>
                      </w:rPr>
                    </w:pPr>
                    <w:r>
                      <w:rPr>
                        <w:rFonts w:hint="eastAsia"/>
                        <w:lang w:eastAsia="zh-CN"/>
                      </w:rPr>
                      <w:t>建筑工程审计组</w:t>
                    </w:r>
                  </w:p>
                </w:txbxContent>
              </v:textbox>
            </v:rect>
            <v:rect id="_x0000_s1057" o:spid="_x0000_s1057" o:spt="1" style="position:absolute;left:1097280;top:1533525;height:1331595;width:381000;" fillcolor="#FFFFFF" filled="t" stroked="t" coordsize="21600,21600">
              <v:path/>
              <v:fill on="t" color2="#FFFFFF" focussize="0,0"/>
              <v:stroke color="#000000" joinstyle="miter"/>
              <v:imagedata o:title=""/>
              <o:lock v:ext="edit" aspectratio="f"/>
              <v:textbox style="layout-flow:vertical-ideographic;">
                <w:txbxContent>
                  <w:p>
                    <w:pPr>
                      <w:jc w:val="center"/>
                      <w:rPr>
                        <w:rFonts w:hint="eastAsia" w:eastAsiaTheme="minorEastAsia"/>
                        <w:lang w:eastAsia="zh-CN"/>
                      </w:rPr>
                    </w:pPr>
                    <w:r>
                      <w:rPr>
                        <w:rFonts w:hint="eastAsia"/>
                        <w:lang w:eastAsia="zh-CN"/>
                      </w:rPr>
                      <w:t>安装审计组</w:t>
                    </w:r>
                  </w:p>
                </w:txbxContent>
              </v:textbox>
            </v:rect>
            <v:rect id="_x0000_s1058" o:spid="_x0000_s1058" o:spt="1" style="position:absolute;left:1682750;top:1533525;height:1327150;width:381000;" fillcolor="#FFFFFF" filled="t" stroked="t" coordsize="21600,21600">
              <v:path/>
              <v:fill on="t" color2="#FFFFFF" focussize="0,0"/>
              <v:stroke color="#000000" joinstyle="miter"/>
              <v:imagedata o:title=""/>
              <o:lock v:ext="edit" aspectratio="f"/>
              <v:textbox style="layout-flow:vertical-ideographic;">
                <w:txbxContent>
                  <w:p>
                    <w:pPr>
                      <w:jc w:val="center"/>
                      <w:rPr>
                        <w:rFonts w:hint="eastAsia" w:eastAsiaTheme="minorEastAsia"/>
                        <w:lang w:eastAsia="zh-CN"/>
                      </w:rPr>
                    </w:pPr>
                    <w:r>
                      <w:rPr>
                        <w:rFonts w:hint="eastAsia"/>
                        <w:lang w:eastAsia="zh-CN"/>
                      </w:rPr>
                      <w:t>工程信息资料服务组</w:t>
                    </w:r>
                  </w:p>
                </w:txbxContent>
              </v:textbox>
            </v:rect>
            <v:rect id="_x0000_s1059" o:spid="_x0000_s1059" o:spt="1" style="position:absolute;left:3342640;top:1533525;height:1397000;width:381000;" fillcolor="#FFFFFF" filled="t" stroked="t" coordsize="21600,21600">
              <v:path/>
              <v:fill on="t" color2="#FFFFFF" focussize="0,0"/>
              <v:stroke color="#000000" joinstyle="miter"/>
              <v:imagedata o:title=""/>
              <o:lock v:ext="edit" aspectratio="f"/>
              <v:textbox style="layout-flow:vertical-ideographic;">
                <w:txbxContent>
                  <w:p>
                    <w:pPr>
                      <w:jc w:val="center"/>
                      <w:rPr>
                        <w:rFonts w:hint="eastAsia" w:eastAsiaTheme="minorEastAsia"/>
                        <w:lang w:eastAsia="zh-CN"/>
                      </w:rPr>
                    </w:pPr>
                    <w:r>
                      <w:rPr>
                        <w:rFonts w:hint="eastAsia"/>
                        <w:lang w:eastAsia="zh-CN"/>
                      </w:rPr>
                      <w:t>财务审计组</w:t>
                    </w:r>
                  </w:p>
                </w:txbxContent>
              </v:textbox>
            </v:rect>
            <v:rect id="_x0000_s1060" o:spid="_x0000_s1060" o:spt="1" style="position:absolute;left:3949065;top:1533525;height:1397000;width:381000;" fillcolor="#FFFFFF" filled="t" stroked="t" coordsize="21600,21600">
              <v:path/>
              <v:fill on="t" color2="#FFFFFF" focussize="0,0"/>
              <v:stroke color="#000000" joinstyle="miter"/>
              <v:imagedata o:title=""/>
              <o:lock v:ext="edit" aspectratio="f"/>
              <v:textbox style="layout-flow:vertical-ideographic;">
                <w:txbxContent>
                  <w:p>
                    <w:pPr>
                      <w:jc w:val="center"/>
                      <w:rPr>
                        <w:rFonts w:hint="eastAsia" w:eastAsiaTheme="minorEastAsia"/>
                        <w:lang w:eastAsia="zh-CN"/>
                      </w:rPr>
                    </w:pPr>
                    <w:r>
                      <w:rPr>
                        <w:rFonts w:hint="eastAsia"/>
                        <w:lang w:eastAsia="zh-CN"/>
                      </w:rPr>
                      <w:t>财务咨询组</w:t>
                    </w:r>
                  </w:p>
                </w:txbxContent>
              </v:textbox>
            </v:rect>
            <v:rect id="_x0000_s1061" o:spid="_x0000_s1061" o:spt="1" style="position:absolute;left:4533265;top:1533525;height:1397000;width:381000;" fillcolor="#FFFFFF" filled="t" stroked="t" coordsize="21600,21600">
              <v:path/>
              <v:fill on="t" color2="#FFFFFF" focussize="0,0"/>
              <v:stroke color="#000000" joinstyle="miter"/>
              <v:imagedata o:title=""/>
              <o:lock v:ext="edit" aspectratio="f"/>
              <v:textbox style="layout-flow:vertical-ideographic;">
                <w:txbxContent>
                  <w:p>
                    <w:pPr>
                      <w:jc w:val="center"/>
                      <w:rPr>
                        <w:rFonts w:hint="eastAsia" w:eastAsiaTheme="minorEastAsia"/>
                        <w:lang w:eastAsia="zh-CN"/>
                      </w:rPr>
                    </w:pPr>
                    <w:r>
                      <w:rPr>
                        <w:rFonts w:hint="eastAsia"/>
                        <w:lang w:eastAsia="zh-CN"/>
                      </w:rPr>
                      <w:t>财务信息资料服务组</w:t>
                    </w:r>
                  </w:p>
                </w:txbxContent>
              </v:textbox>
            </v:rect>
            <v:shape id="_x0000_s1064" o:spid="_x0000_s1064" o:spt="34" type="#_x0000_t34" style="position:absolute;left:1927543;top:62547;height:1527175;width:252730;rotation:5898240f;" fillcolor="#FFFFFF" filled="t" stroked="t" coordsize="21600,21600" adj="10773">
              <v:path arrowok="t"/>
              <v:fill on="t" color2="#FFFFFF" focussize="0,0"/>
              <v:stroke color="#000000"/>
              <v:imagedata o:title=""/>
              <o:lock v:ext="edit" aspectratio="f"/>
            </v:shape>
            <v:shape id="_x0000_s1065" o:spid="_x0000_s1065" o:spt="34" type="#_x0000_t34" style="position:absolute;left:3351848;top:165417;flip:y;height:1320165;width:251460;rotation:-5898240f;" filled="f" stroked="t" coordsize="21600,21600" adj="10773">
              <v:path arrowok="t"/>
              <v:fill on="f" focussize="0,0"/>
              <v:stroke color="#000000" joinstyle="miter"/>
              <v:imagedata o:title=""/>
              <o:lock v:ext="edit" aspectratio="f"/>
            </v:shape>
            <v:shape id="_x0000_s1066" o:spid="_x0000_s1066" o:spt="34" type="#_x0000_t34" style="position:absolute;left:845185;top:1088390;height:601345;width:288925;rotation:5898240f;" filled="f" stroked="t" coordsize="21600,21600" adj="10824">
              <v:path arrowok="t"/>
              <v:fill on="f" focussize="0,0"/>
              <v:stroke color="#000000" joinstyle="miter"/>
              <v:imagedata o:title=""/>
              <o:lock v:ext="edit" aspectratio="f"/>
            </v:shape>
            <v:shape id="_x0000_s1067" o:spid="_x0000_s1067" o:spt="34" type="#_x0000_t34" style="position:absolute;left:1437323;top:1097597;flip:y;height:582930;width:288925;rotation:-5898240f;" filled="f" stroked="t" coordsize="21600,21600" adj="10800">
              <v:path arrowok="t"/>
              <v:fill on="f" focussize="0,0"/>
              <v:stroke color="#000000" joinstyle="miter"/>
              <v:imagedata o:title=""/>
              <o:lock v:ext="edit" aspectratio="f"/>
            </v:shape>
            <v:shape id="_x0000_s1068" o:spid="_x0000_s1068" o:spt="34" type="#_x0000_t34" style="position:absolute;left:3690303;top:1086167;height:604520;width:290195;rotation:-5898240f;" filled="f" stroked="t" coordsize="21600,21600" adj="10800">
              <v:path arrowok="t"/>
              <v:fill on="f" focussize="0,0"/>
              <v:stroke color="#000000" joinstyle="miter"/>
              <v:imagedata o:title=""/>
              <o:lock v:ext="edit" aspectratio="f"/>
            </v:shape>
            <v:shape id="_x0000_s1069" o:spid="_x0000_s1069" o:spt="34" type="#_x0000_t34" style="position:absolute;left:4285615;top:1095375;flip:y;height:586105;width:290195;rotation:5898240f;" filled="f" stroked="t" coordsize="21600,21600" adj="10776">
              <v:path arrowok="t"/>
              <v:fill on="f" focussize="0,0"/>
              <v:stroke color="#000000" joinstyle="miter"/>
              <v:imagedata o:title=""/>
              <o:lock v:ext="edit" aspectratio="f"/>
            </v:shape>
            <v:shape id="_x0000_s1070" o:spid="_x0000_s1070" o:spt="34" type="#_x0000_t34" style="position:absolute;left:1144588;top:1387792;height:2540;width:288925;rotation:-5898240f;" filled="f" stroked="t" coordsize="21600,21600" adj="10800">
              <v:path arrowok="t"/>
              <v:fill on="f" focussize="0,0"/>
              <v:stroke color="#000000" joinstyle="miter"/>
              <v:imagedata o:title=""/>
              <o:lock v:ext="edit" aspectratio="f"/>
            </v:shape>
            <v:shape id="_x0000_s1071" o:spid="_x0000_s1071" o:spt="34" type="#_x0000_t34" style="position:absolute;left:3993515;top:1387475;flip:y;height:1905;width:290195;rotation:-5898240f;" filled="f" stroked="t" coordsize="21600,21600" adj="10824">
              <v:path arrowok="t"/>
              <v:fill on="f" focussize="0,0"/>
              <v:stroke color="#000000" joinstyle="miter"/>
              <v:imagedata o:title=""/>
              <o:lock v:ext="edit" aspectratio="f"/>
            </v:shape>
            <w10:wrap type="none"/>
            <w10:anchorlock/>
          </v:group>
        </w:pict>
      </w: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21"/>
          <w:lang w:eastAsia="zh-CN"/>
        </w:rPr>
      </w:pPr>
      <w:r>
        <w:rPr>
          <w:rFonts w:hint="eastAsia" w:ascii="仿宋" w:hAnsi="仿宋" w:eastAsia="仿宋" w:cs="仿宋"/>
          <w:bCs/>
          <w:kern w:val="0"/>
          <w:szCs w:val="21"/>
        </w:rPr>
        <w:t xml:space="preserve">图1  </w:t>
      </w:r>
      <w:r>
        <w:rPr>
          <w:rFonts w:hint="eastAsia" w:ascii="仿宋" w:hAnsi="仿宋" w:eastAsia="仿宋" w:cs="仿宋"/>
          <w:bCs/>
          <w:szCs w:val="21"/>
        </w:rPr>
        <w:t>项目组织机构图</w:t>
      </w: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Cs/>
          <w:szCs w:val="21"/>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b/>
          <w:bCs/>
          <w:kern w:val="0"/>
          <w:sz w:val="24"/>
          <w:szCs w:val="24"/>
        </w:rPr>
      </w:pPr>
      <w:r>
        <w:rPr>
          <w:rFonts w:hint="eastAsia" w:ascii="仿宋" w:hAnsi="仿宋" w:eastAsia="仿宋" w:cs="仿宋"/>
          <w:b/>
          <w:bCs/>
          <w:kern w:val="0"/>
          <w:sz w:val="24"/>
          <w:szCs w:val="24"/>
        </w:rPr>
        <w:t>3、全过程工程咨询工作要求及需提供成果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bCs/>
          <w:kern w:val="0"/>
          <w:sz w:val="24"/>
          <w:szCs w:val="24"/>
        </w:rPr>
      </w:pPr>
      <w:r>
        <w:rPr>
          <w:rFonts w:hint="eastAsia" w:ascii="仿宋" w:hAnsi="仿宋" w:eastAsia="仿宋" w:cs="仿宋"/>
          <w:b/>
          <w:kern w:val="0"/>
          <w:sz w:val="24"/>
          <w:szCs w:val="24"/>
        </w:rPr>
        <w:t>（1）</w:t>
      </w:r>
      <w:r>
        <w:rPr>
          <w:rFonts w:hint="eastAsia" w:ascii="仿宋" w:hAnsi="仿宋" w:eastAsia="仿宋" w:cs="仿宋"/>
          <w:b/>
          <w:bCs/>
          <w:kern w:val="0"/>
          <w:sz w:val="24"/>
          <w:szCs w:val="24"/>
        </w:rPr>
        <w:t xml:space="preserve">审计准备阶段 </w:t>
      </w:r>
    </w:p>
    <w:p>
      <w:pPr>
        <w:pStyle w:val="13"/>
        <w:keepNext w:val="0"/>
        <w:keepLines w:val="0"/>
        <w:pageBreakBefore w:val="0"/>
        <w:widowControl/>
        <w:kinsoku/>
        <w:wordWrap/>
        <w:overflowPunct/>
        <w:topLinePunct w:val="0"/>
        <w:autoSpaceDE/>
        <w:autoSpaceDN/>
        <w:bidi w:val="0"/>
        <w:adjustRightInd w:val="0"/>
        <w:snapToGrid w:val="0"/>
        <w:spacing w:line="360" w:lineRule="auto"/>
        <w:ind w:left="0" w:leftChars="0" w:firstLine="480"/>
        <w:rPr>
          <w:rFonts w:hint="eastAsia" w:ascii="仿宋" w:hAnsi="仿宋" w:eastAsia="仿宋" w:cs="仿宋"/>
          <w:kern w:val="0"/>
          <w:sz w:val="24"/>
          <w:szCs w:val="24"/>
        </w:rPr>
      </w:pPr>
      <w:r>
        <w:rPr>
          <w:rFonts w:hint="eastAsia" w:ascii="仿宋" w:hAnsi="仿宋" w:eastAsia="仿宋" w:cs="仿宋"/>
          <w:kern w:val="0"/>
          <w:sz w:val="24"/>
          <w:szCs w:val="24"/>
        </w:rPr>
        <w:t>1）了解项目业主目前财务核算体系、项目合同、招报价、进度计划等基建基本情况,派驻审计人员熟悉现场情况和施工图纸，在项目开工后，派驻现场的审计会人员将常驻现场开展工作；</w:t>
      </w:r>
    </w:p>
    <w:p>
      <w:pPr>
        <w:pStyle w:val="13"/>
        <w:keepNext w:val="0"/>
        <w:keepLines w:val="0"/>
        <w:pageBreakBefore w:val="0"/>
        <w:widowControl/>
        <w:kinsoku/>
        <w:wordWrap/>
        <w:overflowPunct/>
        <w:topLinePunct w:val="0"/>
        <w:autoSpaceDE/>
        <w:autoSpaceDN/>
        <w:bidi w:val="0"/>
        <w:adjustRightInd w:val="0"/>
        <w:snapToGrid w:val="0"/>
        <w:spacing w:line="360" w:lineRule="auto"/>
        <w:ind w:left="0" w:leftChars="0" w:firstLine="480"/>
        <w:rPr>
          <w:rFonts w:hint="eastAsia" w:ascii="仿宋" w:hAnsi="仿宋" w:eastAsia="仿宋" w:cs="仿宋"/>
          <w:kern w:val="0"/>
          <w:sz w:val="24"/>
          <w:szCs w:val="24"/>
        </w:rPr>
      </w:pPr>
      <w:r>
        <w:rPr>
          <w:rFonts w:hint="eastAsia" w:ascii="仿宋" w:hAnsi="仿宋" w:eastAsia="仿宋" w:cs="仿宋"/>
          <w:kern w:val="0"/>
          <w:sz w:val="24"/>
          <w:szCs w:val="24"/>
        </w:rPr>
        <w:t>2）根据工程基本情况制订项目全过程审计计划；</w:t>
      </w:r>
    </w:p>
    <w:p>
      <w:pPr>
        <w:pStyle w:val="13"/>
        <w:keepNext w:val="0"/>
        <w:keepLines w:val="0"/>
        <w:pageBreakBefore w:val="0"/>
        <w:widowControl/>
        <w:kinsoku/>
        <w:wordWrap/>
        <w:overflowPunct/>
        <w:topLinePunct w:val="0"/>
        <w:autoSpaceDE/>
        <w:autoSpaceDN/>
        <w:bidi w:val="0"/>
        <w:adjustRightInd w:val="0"/>
        <w:snapToGrid w:val="0"/>
        <w:spacing w:line="360" w:lineRule="auto"/>
        <w:ind w:left="0" w:leftChars="0" w:firstLine="480"/>
        <w:rPr>
          <w:rFonts w:hint="eastAsia" w:ascii="仿宋" w:hAnsi="仿宋" w:eastAsia="仿宋" w:cs="仿宋"/>
          <w:kern w:val="0"/>
          <w:sz w:val="24"/>
          <w:szCs w:val="24"/>
        </w:rPr>
      </w:pPr>
      <w:r>
        <w:rPr>
          <w:rFonts w:hint="eastAsia" w:ascii="仿宋" w:hAnsi="仿宋" w:eastAsia="仿宋" w:cs="仿宋"/>
          <w:kern w:val="0"/>
          <w:sz w:val="24"/>
          <w:szCs w:val="24"/>
        </w:rPr>
        <w:t>3）与</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共同确定在建工程固定资产目录、费用的分配原则等，为转固建立完整财务基础资料；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4）对已开展的前期工作开展专项审计。关注开工前项目立项、核准审批、设计建设等程序的合法合规性、完整性等，出具阶段审计报告；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5）开展前期费用专项审计。对项目前期费用的真实性、合法合规性，会计核算规范性等进行审计，出具前期费用专项审计报告；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6）根据本阶段审计内容，针对工程项目管理、招报价、设备物资采购、合同签订等方面，出具阶段报告；或根据业主特别要求，出具专项审计报告。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（2）审计实施阶段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1）对施工合同及执行情况进行审计，包括总承包合同和建设单位分包合同；对大宗材料及设备采购进行审计；参加工程例会和大型材料设备采购的招投标会议；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2）对工程实施过程中出现的重大设计变更、索赔等造成的合同变更进行审计，向项目业主提供工程变更引起的造价变动增减分析、对比建议，协助业主进行增减费用洽谈；并对变更引起的造价进行审计；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3）对涉及造价金额比较大的签证，现场审计人员参与工程实物量的复核签证工作；并根据需要，现场审计人员参与重要部位的隐蔽验收，对隐蔽工程验收程序进行复核性审查；</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4）在</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要求时，对超出合同约定支付的工程进度款支付提出审计意见；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5）对</w:t>
      </w:r>
      <w:r>
        <w:rPr>
          <w:rFonts w:hint="eastAsia" w:ascii="仿宋" w:hAnsi="仿宋" w:eastAsia="仿宋" w:cs="仿宋"/>
          <w:kern w:val="0"/>
          <w:sz w:val="24"/>
          <w:szCs w:val="24"/>
          <w:lang w:val="en-US" w:eastAsia="zh-CN"/>
        </w:rPr>
        <w:t>业主委托的</w:t>
      </w:r>
      <w:r>
        <w:rPr>
          <w:rFonts w:hint="eastAsia" w:ascii="仿宋" w:hAnsi="仿宋" w:eastAsia="仿宋" w:cs="仿宋"/>
          <w:kern w:val="0"/>
          <w:sz w:val="24"/>
          <w:szCs w:val="24"/>
        </w:rPr>
        <w:t>造价咨询公司和项目业主审核过的结算报告进行审计，包括但不限于：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进行现场勘察，检查实际施工是否与竣工结算资料相符；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收集与结算资料有关的合同、地质报告、招投标文件、设计变更、工程会议纪要、工程联系单、签证资料 、设计图纸、咨询公司出具的结算书、电子文档，施工单位及咨询公司的计算底稿以及业主的审核情况等资料，审查竣工结算资料的完整性；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审计人员核实竣工图编制情况，针对结算书中的分项工程进行工程量和单价的审计，对没信息价的材料设备进行市场了解、询价，审计工程结算造价是否合理，并形成文字资料作为附件与审计报告归档；</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针对结算工作出具阶段报告，或根据业主要求对重要工程结算、工程重要节点、重大事项变更等出具专项审计报告；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5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⑤</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完成结算审计并出具相应报告后，结算资料转财务组进行财务分类审计，财务小组出具审计结果，财务组配合业主财务部将各工程项目转入在建工程明细帐；</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6）对承包方的索赔，向项目业主提供专业审计意见，协助项目业主与承包方协商解决；</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7）对建设资金筹措方案、方式、数额的合法性、合理性及偿还能力等，对资金支付及账务处理进行审计；为项目业主提供与该工程相关的财务和税务等方面咨询服务，并提供咨询报告；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8）汇总工程结算资料，出具整个工程的结算审计报告；协助项目业主办理工程竣工决算的报批； </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9）出具整个工程的竣工财务决算审计报告，并配合项目业主建立固定资产明细帐、卡片；</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10）对工程进度进行动态跟踪审计时，应及时根据实际情况调整目标工期，对工程质量情况、工程现场管理情况进行评估。</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（3）审计完成阶段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1）整理该项目审计资料，向</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提交不限于以下列举内容的审计成果资料（含电子文档）：</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审计资料档案目录；</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各类合同或协议书、补充协议；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过程审计记录（汇编）；</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过程审计阶段审计报告；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5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⑤</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合同项目的造价结算审计报告书（附相关结算资料及支持文件）；</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6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⑥</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整个项目的竣工结算审计报告书（附相关资料）；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7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⑦</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招标、投标审计有关资料；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8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⑧</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工程结算、财务决算审计报告书；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9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项目业主提供资料明细单；</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10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⑩</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成果签收记录单。</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2）对该项目的项目概况、投资实施过程、基建投入、施工、资金使用、监控、投资实施效果、存在的主要问题、项目建设的主要经验教训及结论、 对策和建议等方面进行分析评价，并出具过程审计总结报告。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spacing w:line="360" w:lineRule="auto"/>
        <w:ind w:left="0" w:leftChars="0"/>
        <w:jc w:val="both"/>
        <w:outlineLvl w:val="0"/>
        <w:rPr>
          <w:rFonts w:hint="eastAsia" w:ascii="仿宋" w:hAnsi="仿宋" w:eastAsia="仿宋" w:cs="仿宋"/>
          <w:b/>
          <w:bCs/>
          <w:sz w:val="32"/>
          <w:szCs w:val="32"/>
        </w:rPr>
      </w:pPr>
      <w:r>
        <w:rPr>
          <w:rFonts w:hint="eastAsia" w:ascii="仿宋" w:hAnsi="仿宋" w:eastAsia="仿宋" w:cs="仿宋"/>
          <w:b/>
          <w:bCs/>
          <w:sz w:val="32"/>
          <w:szCs w:val="32"/>
        </w:rPr>
        <w:t>三、咨询服务的运作过程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咨询公司在本项目实施过程中，前期审计方案，并出具正式文本报告；并根据初步设计图纸审核单位工程的招投标工作。我公司以项目审计方案为先导，围绕质量、工期和投资目标，发挥咨询公司的优势，为项目的顺利建设提供优质的咨询服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b/>
          <w:bCs/>
          <w:kern w:val="0"/>
          <w:sz w:val="24"/>
          <w:szCs w:val="24"/>
        </w:rPr>
      </w:pPr>
      <w:r>
        <w:rPr>
          <w:rFonts w:hint="eastAsia" w:ascii="仿宋" w:hAnsi="仿宋" w:eastAsia="仿宋" w:cs="仿宋"/>
          <w:b/>
          <w:bCs/>
          <w:kern w:val="0"/>
          <w:sz w:val="24"/>
          <w:szCs w:val="24"/>
        </w:rPr>
        <w:t>1.招标管理阶段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本项目严格按照国家规定的建设程序和股份公司的相关要求，本着“公平、公开、 公正、诚信”的原则，按招标程序择优选择参建各方。招标分施工工程招标、专业招标、设备招标。</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给业主在施工单位招标时，提供了风险控制范围及项目的难度特点，对比了前几期施工单位施工过程中质量、进度、投资控制的特点和存在的问题，在招标文件中明确了相关的要求，为业主招标时选择施工单位提供了有利的技术支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配合业主编制施工总承包合同，特别是在工程质量、施工进度、安全控制等方面达不到要求的违约责任，确保了业主的相关权利得到保障。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b/>
          <w:bCs/>
          <w:kern w:val="0"/>
          <w:sz w:val="24"/>
          <w:szCs w:val="24"/>
        </w:rPr>
      </w:pPr>
      <w:r>
        <w:rPr>
          <w:rFonts w:hint="eastAsia" w:ascii="仿宋" w:hAnsi="仿宋" w:eastAsia="仿宋" w:cs="仿宋"/>
          <w:b/>
          <w:bCs/>
          <w:kern w:val="0"/>
          <w:sz w:val="24"/>
          <w:szCs w:val="24"/>
        </w:rPr>
        <w:t>2.施工管理阶段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实施阶段是整个项目建设过程中时间跨度最长、变化最多的阶段，对建设项目全过程造价管理来说也是最难控制的阶段。在施工过程中，不能任意增加设计内容和提高设计标准，如必须变更，要履行严格的审批程序。</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加强对施工组织设计方案诉审批，施工组织设计是指导施工的纲领性文件，是保证工程顺利进行，确保工程质量、有效控制工程造价的重要工具。为控制工程造价，对各种施工方案进行技术上、经济上的对比分析，从中选出最合理利用人力、物力、财力资源的方案，从而降低工程造价。在施工中，</w:t>
      </w:r>
      <w:r>
        <w:rPr>
          <w:rFonts w:hint="eastAsia" w:ascii="仿宋" w:hAnsi="仿宋" w:eastAsia="仿宋" w:cs="仿宋"/>
          <w:kern w:val="0"/>
          <w:sz w:val="24"/>
          <w:szCs w:val="24"/>
          <w:lang w:val="en-US" w:eastAsia="zh-CN"/>
        </w:rPr>
        <w:t>重点</w:t>
      </w:r>
      <w:r>
        <w:rPr>
          <w:rFonts w:hint="eastAsia" w:ascii="仿宋" w:hAnsi="仿宋" w:eastAsia="仿宋" w:cs="仿宋"/>
          <w:kern w:val="0"/>
          <w:sz w:val="24"/>
          <w:szCs w:val="24"/>
        </w:rPr>
        <w:t>对工程造价有影响的工作</w:t>
      </w:r>
      <w:r>
        <w:rPr>
          <w:rFonts w:hint="eastAsia" w:ascii="仿宋" w:hAnsi="仿宋" w:eastAsia="仿宋" w:cs="仿宋"/>
          <w:kern w:val="0"/>
          <w:sz w:val="24"/>
          <w:szCs w:val="24"/>
          <w:lang w:val="en-US" w:eastAsia="zh-CN"/>
        </w:rPr>
        <w:t>进行审计</w:t>
      </w:r>
      <w:r>
        <w:rPr>
          <w:rFonts w:hint="eastAsia" w:ascii="仿宋" w:hAnsi="仿宋" w:eastAsia="仿宋" w:cs="仿宋"/>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工程变更。工程变更应履行相应的审批流程，工程变更引起的所有费用增加应合理、合法、有据。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工程量清单缺项。应详细查询招标文件、施工图纸、工程量清单及投标书，是否有的项目已经包括其他项目中；清单缺项单价应按计价规范和标准的规定的原则，结合合同约定的组价原则进行组价。</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现场签证。现场签证应按相应程序办理相关手续，做到各种资料齐全，审核程序资料完整、有效。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物价变化。因材料价格原因，调整合同价款，应以政府公布的相应价格数数作为依据，同时按合同指定范围和幅度内调整。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暂估价。材料暂估价应按合同约定的程序及时进行价格确认，相关资料应齐全完整。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工程索赔。索赔本着实事求是的原则进行，及时办理索赔确认手续。</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材料询价。因标准提高，新材料、新工艺的应用，对材料询价需求较大。通过网站咨询平台、电话询价、市场考察等方式进行集中询价。</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outlineLvl w:val="1"/>
        <w:rPr>
          <w:rFonts w:hint="eastAsia" w:ascii="仿宋" w:hAnsi="仿宋" w:eastAsia="仿宋" w:cs="仿宋"/>
          <w:kern w:val="0"/>
          <w:sz w:val="24"/>
          <w:szCs w:val="24"/>
        </w:rPr>
      </w:pPr>
      <w:r>
        <w:rPr>
          <w:rFonts w:hint="eastAsia" w:ascii="仿宋" w:hAnsi="仿宋" w:eastAsia="仿宋" w:cs="仿宋"/>
          <w:b/>
          <w:bCs/>
          <w:kern w:val="0"/>
          <w:sz w:val="24"/>
          <w:szCs w:val="24"/>
        </w:rPr>
        <w:t>3.工程结算阶段和决算阶段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361" w:firstLineChars="150"/>
        <w:rPr>
          <w:rFonts w:hint="eastAsia" w:ascii="仿宋" w:hAnsi="仿宋" w:eastAsia="仿宋" w:cs="仿宋"/>
          <w:b/>
          <w:kern w:val="0"/>
          <w:sz w:val="24"/>
          <w:szCs w:val="24"/>
        </w:rPr>
      </w:pPr>
      <w:r>
        <w:rPr>
          <w:rFonts w:hint="eastAsia" w:ascii="仿宋" w:hAnsi="仿宋" w:eastAsia="仿宋" w:cs="仿宋"/>
          <w:b/>
          <w:kern w:val="0"/>
          <w:sz w:val="24"/>
          <w:szCs w:val="24"/>
        </w:rPr>
        <w:t>（1）工程竣工的资料要求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工程竣工结算资料</w:t>
      </w:r>
      <w:r>
        <w:rPr>
          <w:rFonts w:hint="eastAsia" w:ascii="仿宋" w:hAnsi="仿宋" w:eastAsia="仿宋" w:cs="仿宋"/>
          <w:kern w:val="0"/>
          <w:sz w:val="24"/>
          <w:szCs w:val="24"/>
          <w:lang w:val="en-US" w:eastAsia="zh-CN"/>
        </w:rPr>
        <w:t>包含</w:t>
      </w:r>
      <w:r>
        <w:rPr>
          <w:rFonts w:hint="eastAsia" w:ascii="仿宋" w:hAnsi="仿宋" w:eastAsia="仿宋" w:cs="仿宋"/>
          <w:kern w:val="0"/>
          <w:sz w:val="24"/>
          <w:szCs w:val="24"/>
        </w:rPr>
        <w:t>工程结算书、工程竣工图、施工合同、招投标文件在内的能够说明工程竣工结算价款的真实性、合规性、完整性、准确性的全部工程造价资料。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结算资料具体要求</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1.工程结算书；工程量计算按竣工图+变更方式；单价按合同内单价+参考合同价+变更新组价方式；材料调差按月度</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批复意见办理（新增项目应包含综合单价分析表，提供原件纸版、原件PDF版、斯维尔造价软件版或电力造价软件版）；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2.工程量计算书（原件纸版、EXCEL版、PDF版，土建专我司要构件，如基础，楼梯，梁板柱砼构件需提供广联达算量软件版）；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3.工程竣工图</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应有总监签字确认</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工程师需要对该套竣工图另附简要说明；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4.工程竣工验收（交接）证书，工程竣工验收报告；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5.施工合同及补充协议，合同谈判纪要；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6.招标文件（包括答疑及澄清资料）、中标人的投标文件（广联达计价软件版）；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7甲供设备及材料领用记录（按单位工程划分，EXCEL版，PDF版）；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8.乙供材料或设备价格认定单；</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设计变更单、现场签证单（所有签证单所有签证单号必须连续、不断号，需要办理派工单或工程联系单）、清单漏项、项目特征不符等需变更造价的资料；工程洽商纪要、工程索赔资料（需项目部批准，三方共同认可；</w:t>
      </w:r>
      <w:bookmarkStart w:id="0" w:name="_Hlk521396147"/>
      <w:r>
        <w:rPr>
          <w:rFonts w:hint="eastAsia" w:ascii="仿宋" w:hAnsi="仿宋" w:eastAsia="仿宋" w:cs="仿宋"/>
          <w:kern w:val="0"/>
          <w:sz w:val="24"/>
          <w:szCs w:val="24"/>
        </w:rPr>
        <w:t>纸版、PDF版</w:t>
      </w:r>
      <w:bookmarkEnd w:id="0"/>
      <w:r>
        <w:rPr>
          <w:rFonts w:hint="eastAsia" w:ascii="仿宋" w:hAnsi="仿宋" w:eastAsia="仿宋" w:cs="仿宋"/>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10.经</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和监理批准的施工组织设计；经专家论证的危险或重大工程施工方案；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11.工程竣工结算授权委托书；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12.承包人结算资料报送承诺书（主要承诺不再增加结算内容）；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13.工程开竣工报告；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14.有造价信息的主要材料材差按照合同约定每个月度调整资料及批复资料；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15.施工日记，施工记录、隐蔽工程验收记录，重要节点图片资料（根据审计需要）；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16.与工程造价有关的会议纪要（纸版、PDF版）；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17.其他与工程造价有关的资料（根据审计需要提供，纸版、PDF版）；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18.部分施工技术档案资料（检测记录及检测单、隐蔽工程验收等，根据审计需要提供）。</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业主单位</w:t>
      </w:r>
      <w:r>
        <w:rPr>
          <w:rFonts w:hint="eastAsia" w:ascii="仿宋" w:hAnsi="仿宋" w:eastAsia="仿宋" w:cs="仿宋"/>
          <w:kern w:val="0"/>
          <w:sz w:val="24"/>
          <w:szCs w:val="24"/>
        </w:rPr>
        <w:t>工程项目部提供的资料（按每次结算内容提供原件及原件扫描件）：</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1.验收问题清单（竣工验收过程中，发现的问题列出清单，是否是责任单位处理还是委托其他单位处理，需说明验收问题处理情况，发生费用的，其费用分担需加以说明）；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2.联合试运转问题清单（联合试运转过程中发现的质量问题，属于施工单位质量问题的，应由施工单位处理；属于设备厂家问题，应由厂家处理；属于设计问题由项目部承担）发生费用的，需要说明原因；</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3.设计变更，现场签证，工程索赔反索赔，工程洽商记录等原件及其批准件；</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4.投标文件中清单漏项、项目特征不符、工程量错误等造价变化的批准文件的原件；</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5.施工过程中，承包人在安全，健康，环保方面违约金发生及扣除情况说明；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6.施工过程中，承包人在工程进度，质量方面违约金发生及扣除情况说明；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7.图纸会审记录，设计交底记录；</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8.未施工部分的工程内容说明；施工界面划分说明；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施工图审查意见；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.安装工程（附属于设备）资产移交清单</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354" w:firstLineChars="147"/>
        <w:rPr>
          <w:rFonts w:hint="eastAsia" w:ascii="仿宋" w:hAnsi="仿宋" w:eastAsia="仿宋" w:cs="仿宋"/>
          <w:b/>
          <w:kern w:val="0"/>
          <w:sz w:val="24"/>
          <w:szCs w:val="24"/>
        </w:rPr>
      </w:pPr>
      <w:r>
        <w:rPr>
          <w:rFonts w:hint="eastAsia" w:ascii="仿宋" w:hAnsi="仿宋" w:eastAsia="仿宋" w:cs="仿宋"/>
          <w:b/>
          <w:kern w:val="0"/>
          <w:sz w:val="24"/>
          <w:szCs w:val="24"/>
        </w:rPr>
        <w:t>（2）竣工结算的审核</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1）工程结算资料的审查</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审查工程结算资料的完整性；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审查计价依据及资料与工程结算的相关性、有效性；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审查工程结算的范围、内容与合同约定的范围、内容一致性；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审查工程量计算的准确性；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审查综合单价是否执行合同约定或现行的计价原则、方法；</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审查变更签证的真实性、有效性；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审查索赔是否依据合同约定的索赔处理原则、程序和计算方法， 审查索赔的真实性、合法性、准确性。</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2）工程结算的审定</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工程结算审查初稿编制完成后，应召开由结算编制人、委托人（甲方单位）、结算审查人共同参加的会议，听取意见，并进行合理调整；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由审查人的该项目负责人对工程结算审查的初步成果文件进行校对；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由工程结算审查人的总审负责人审核批准；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建设单位、施工单位应分别在工程审定单签字并加盖公章；</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由工程结算审查人编制工程结算审核报告，并加盖从业资格印章和公司公章。</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3）工程竣工决算。竣工结算完成后，各相关单位移交工程技术资料，分类建档保存，移交项目工程实体，收集、整理有关项目竣工决算资料，编制项目竣工决算报告。 工程竣工决算审计的要点如下: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项目竣工决算报告的编制情况。审计人员应重点了解决算编制工作的责任单位，其编制依据是否符合国家有关规定，资料是否齐全，手续是否完备，对项目遗留问题的处理是否合规。重点关注实际投资核算，包括建安工程投资、设备投资、待摊投资核算的真实和准确，待摊投资支出的合法、合规性以及分摊方法的合理性，特别是建设单位管理费、勘察设计费、土地征用费等前期费用的核算、分摊是否合法、合规。</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项目建设及概算执行情况，重点关注项目建设是否按照批准的初步设计概算进行。在取得项目的竣工决算表后，整理汇总一个概算与实际投资的对比明细表，将其中实际投资与概算投资出入较大的单项工程作为审查的重点，在此基础上逐项分析超概算或节约的具体内容与原因，比如是否存在概算外项目和扩大工程规模、提高建设标准的情况，有无重大工程质量事故和经济损失或投资浪费等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审查建设项目资金来源。根据项目设计概算批复，审核建设资金来源是否与设计概算内容一致，工程建设过程中建设资金到位情况等。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交付使用财产和在建工程造价真实性，重点关注交付使用财产是否真实、完整，移交手续是否齐全、合规，其中切勿忽略各类备品配件、工器具等的交付移交;同时关注大额无形资产、流动资产、铺底流动资金是否真实、正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5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⑤</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审查工程造价真实性和合规性，重点审查成本核算是否完整，关注有无挤占工程成本，提高工程造价，转移建设投资的问题</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实际审计中应注意以下若干问题。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6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⑥</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尾工工程。根据修正总概算和工程形象进度，核实尾工工程的未完工作量和投资，如是否经有关部门核实或审批，尾工工程与预留尾工资金是否相匹配。防止将概算外新增项目列作尾工项目，挤占工程投资，或者是大量预留尾工资金的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7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⑦</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审查转出投资、应核销投资及应核销其他支出。关注列支依据是否充分，手续是否完备，内容是否真实，核销是否合规，有无虚列投资的问题。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8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⑧</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项目结余资金。审查实际投资是否控制在总投资之内，未使用的工程物资的账务处理是否得当。重点审核库存物资，防止隐匿、转移、挪用库存物资。审查是否存在虚列债权债务，隐匿、转移项目结余资金的问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9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关注基建收入的情况，包括各项工程建设副产品的变价收入、试生产收入，以及各项索赔和违约金等其他收入，相关收入是否及时入账，核算是否真实、完整，有无隐匿、转移收入的问题。是否按照国家相关规定计算分成，足额上缴或归还建设贷款。</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10 \* GB3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⑩</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审查投资包干结余。根据对设计概算的执行情况的分析，正确核算项目包干结余指标，防止将未完工程的投资做为包干结余参与分配。</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spacing w:line="360" w:lineRule="auto"/>
        <w:ind w:left="0" w:leftChars="0"/>
        <w:jc w:val="both"/>
        <w:outlineLvl w:val="0"/>
        <w:rPr>
          <w:rFonts w:hint="eastAsia" w:ascii="仿宋" w:hAnsi="仿宋" w:eastAsia="仿宋" w:cs="仿宋"/>
          <w:b/>
          <w:bCs/>
          <w:sz w:val="32"/>
          <w:szCs w:val="32"/>
        </w:rPr>
      </w:pPr>
      <w:r>
        <w:rPr>
          <w:rFonts w:hint="eastAsia" w:ascii="仿宋" w:hAnsi="仿宋" w:eastAsia="仿宋" w:cs="仿宋"/>
          <w:b/>
          <w:bCs/>
          <w:sz w:val="32"/>
          <w:szCs w:val="32"/>
        </w:rPr>
        <w:t>四、项目总结和咨询服务的部分成效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本项目的实施过程中，我公司进行了新的尝试，对传统单一造价咨询服务和财务审计服务转变为提供咨询服务和财务审计服务相融合的咨询模式，进行了阶段性全过程咨询服务的试点；同时，也是我公司开拓新市场新环境的一个项目试点。因为该项目目前还没有全部竣工，咨询成效只能提供部分已经形成的成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过程咨询成果：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在项目咨询过程中，为业主单位及时处理了大量的涉及工程造价、合同纠纷、质量管理的问题，举</w:t>
      </w:r>
      <w:r>
        <w:rPr>
          <w:rFonts w:hint="eastAsia" w:ascii="仿宋" w:hAnsi="仿宋" w:eastAsia="仿宋" w:cs="仿宋"/>
          <w:kern w:val="0"/>
          <w:sz w:val="24"/>
          <w:szCs w:val="24"/>
          <w:lang w:val="en-US" w:eastAsia="zh-CN"/>
        </w:rPr>
        <w:t>两</w:t>
      </w:r>
      <w:r>
        <w:rPr>
          <w:rFonts w:hint="eastAsia" w:ascii="仿宋" w:hAnsi="仿宋" w:eastAsia="仿宋" w:cs="仿宋"/>
          <w:kern w:val="0"/>
          <w:sz w:val="24"/>
          <w:szCs w:val="24"/>
        </w:rPr>
        <w:t>个例子如下：</w:t>
      </w: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kern w:val="0"/>
          <w:sz w:val="24"/>
          <w:szCs w:val="24"/>
        </w:rPr>
      </w:pPr>
      <w:r>
        <w:rPr>
          <w:rFonts w:hint="eastAsia" w:ascii="仿宋" w:hAnsi="仿宋" w:eastAsia="仿宋" w:cs="仿宋"/>
          <w:b/>
          <w:bCs/>
          <w:kern w:val="0"/>
          <w:sz w:val="24"/>
          <w:szCs w:val="24"/>
        </w:rPr>
        <w:t>例1：电厂主厂房钢结构价格波动调研报告</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自2017年7月</w:t>
      </w:r>
      <w:r>
        <w:rPr>
          <w:rFonts w:hint="eastAsia" w:ascii="仿宋" w:hAnsi="仿宋" w:eastAsia="仿宋" w:cs="仿宋"/>
          <w:color w:val="000000"/>
          <w:sz w:val="24"/>
          <w:szCs w:val="24"/>
          <w:lang w:val="en-US" w:eastAsia="zh-CN"/>
        </w:rPr>
        <w:t>该</w:t>
      </w:r>
      <w:r>
        <w:rPr>
          <w:rFonts w:hint="eastAsia" w:ascii="仿宋" w:hAnsi="仿宋" w:eastAsia="仿宋" w:cs="仿宋"/>
          <w:color w:val="000000"/>
          <w:sz w:val="24"/>
          <w:szCs w:val="24"/>
        </w:rPr>
        <w:t>主体工程开工以来，鉴于国家开展环保督察、原材料产能调整等原因，建筑市场各项原材料价格大幅上涨，</w:t>
      </w:r>
      <w:r>
        <w:rPr>
          <w:rFonts w:hint="eastAsia" w:ascii="仿宋" w:hAnsi="仿宋" w:eastAsia="仿宋" w:cs="仿宋"/>
          <w:color w:val="000000"/>
          <w:sz w:val="24"/>
          <w:szCs w:val="24"/>
          <w:lang w:val="en-US" w:eastAsia="zh-CN"/>
        </w:rPr>
        <w:t>该</w:t>
      </w:r>
      <w:r>
        <w:rPr>
          <w:rFonts w:hint="eastAsia" w:ascii="仿宋" w:hAnsi="仿宋" w:eastAsia="仿宋" w:cs="仿宋"/>
          <w:color w:val="000000"/>
          <w:sz w:val="24"/>
          <w:szCs w:val="24"/>
        </w:rPr>
        <w:t>项目主体施工单位</w:t>
      </w:r>
      <w:r>
        <w:rPr>
          <w:rFonts w:hint="eastAsia" w:ascii="仿宋" w:hAnsi="仿宋" w:eastAsia="仿宋" w:cs="仿宋"/>
          <w:color w:val="000000"/>
          <w:sz w:val="24"/>
          <w:szCs w:val="24"/>
          <w:lang w:val="en-US" w:eastAsia="zh-CN"/>
        </w:rPr>
        <w:t>中建</w:t>
      </w:r>
      <w:r>
        <w:rPr>
          <w:rFonts w:hint="eastAsia" w:ascii="仿宋" w:hAnsi="仿宋" w:eastAsia="仿宋" w:cs="仿宋"/>
          <w:color w:val="000000"/>
          <w:sz w:val="24"/>
          <w:szCs w:val="24"/>
        </w:rPr>
        <w:t>某公司多次在项目协调会上提出其所承担部分的主厂房钢结构工程实际实施价格远高于其合同投标报价，产生了巨额亏损，无力承担，要求建设单位给予补偿。</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b/>
          <w:sz w:val="24"/>
          <w:szCs w:val="24"/>
        </w:rPr>
      </w:pPr>
      <w:r>
        <w:rPr>
          <w:rFonts w:hint="eastAsia" w:ascii="仿宋" w:hAnsi="仿宋" w:eastAsia="仿宋" w:cs="仿宋"/>
          <w:color w:val="000000"/>
          <w:sz w:val="24"/>
          <w:szCs w:val="24"/>
        </w:rPr>
        <w:t>受</w:t>
      </w:r>
      <w:r>
        <w:rPr>
          <w:rFonts w:hint="eastAsia" w:ascii="仿宋" w:hAnsi="仿宋" w:eastAsia="仿宋" w:cs="仿宋"/>
          <w:color w:val="000000"/>
          <w:sz w:val="24"/>
          <w:szCs w:val="24"/>
          <w:lang w:val="en-US" w:eastAsia="zh-CN"/>
        </w:rPr>
        <w:t>业主</w:t>
      </w:r>
      <w:r>
        <w:rPr>
          <w:rFonts w:hint="eastAsia" w:ascii="仿宋" w:hAnsi="仿宋" w:eastAsia="仿宋" w:cs="仿宋"/>
          <w:color w:val="000000"/>
          <w:sz w:val="24"/>
          <w:szCs w:val="24"/>
        </w:rPr>
        <w:t>委托,我们对</w:t>
      </w:r>
      <w:r>
        <w:rPr>
          <w:rFonts w:hint="eastAsia" w:ascii="仿宋" w:hAnsi="仿宋" w:eastAsia="仿宋" w:cs="仿宋"/>
          <w:color w:val="000000"/>
          <w:sz w:val="24"/>
          <w:szCs w:val="24"/>
          <w:lang w:val="en-US" w:eastAsia="zh-CN"/>
        </w:rPr>
        <w:t>该</w:t>
      </w:r>
      <w:r>
        <w:rPr>
          <w:rFonts w:hint="eastAsia" w:ascii="仿宋" w:hAnsi="仿宋" w:eastAsia="仿宋" w:cs="仿宋"/>
          <w:color w:val="000000"/>
          <w:sz w:val="24"/>
          <w:szCs w:val="24"/>
        </w:rPr>
        <w:t>项目主体标段建筑安装工程中厂房钢结构的主要钢材价格以及综合单价进行分析，结合实际钢结构施工成本及市场价格水平进行对比调研，现将调研情况报告如下：</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72" w:firstLineChars="196"/>
        <w:rPr>
          <w:rFonts w:hint="eastAsia" w:ascii="仿宋" w:hAnsi="仿宋" w:eastAsia="仿宋" w:cs="仿宋"/>
          <w:b w:val="0"/>
          <w:bCs/>
          <w:color w:val="000000"/>
          <w:sz w:val="24"/>
          <w:szCs w:val="24"/>
        </w:rPr>
      </w:pPr>
      <w:r>
        <w:rPr>
          <w:rFonts w:hint="eastAsia" w:ascii="仿宋" w:hAnsi="仿宋" w:eastAsia="仿宋" w:cs="仿宋"/>
          <w:b/>
          <w:bCs w:val="0"/>
          <w:color w:val="000000"/>
          <w:sz w:val="24"/>
          <w:szCs w:val="24"/>
        </w:rPr>
        <w:t>一、</w:t>
      </w:r>
      <w:r>
        <w:rPr>
          <w:rFonts w:hint="eastAsia" w:ascii="仿宋" w:hAnsi="仿宋" w:eastAsia="仿宋" w:cs="仿宋"/>
          <w:b/>
          <w:bCs w:val="0"/>
          <w:color w:val="000000"/>
          <w:sz w:val="24"/>
          <w:szCs w:val="24"/>
          <w:lang w:val="en-US" w:eastAsia="zh-CN"/>
        </w:rPr>
        <w:t>该</w:t>
      </w:r>
      <w:r>
        <w:rPr>
          <w:rFonts w:hint="eastAsia" w:ascii="仿宋" w:hAnsi="仿宋" w:eastAsia="仿宋" w:cs="仿宋"/>
          <w:b/>
          <w:bCs w:val="0"/>
          <w:color w:val="000000"/>
          <w:sz w:val="24"/>
          <w:szCs w:val="24"/>
        </w:rPr>
        <w:t>厂房钢结构情况概述</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主要工程量</w:t>
      </w:r>
      <w:r>
        <w:rPr>
          <w:rFonts w:hint="eastAsia" w:ascii="仿宋" w:hAnsi="仿宋" w:eastAsia="仿宋" w:cs="仿宋"/>
          <w:sz w:val="24"/>
          <w:szCs w:val="24"/>
        </w:rPr>
        <w:t>详见表1。</w:t>
      </w:r>
    </w:p>
    <w:p>
      <w:pPr>
        <w:keepNext w:val="0"/>
        <w:keepLines w:val="0"/>
        <w:pageBreakBefore w:val="0"/>
        <w:kinsoku/>
        <w:wordWrap/>
        <w:overflowPunct/>
        <w:topLinePunct w:val="0"/>
        <w:autoSpaceDE/>
        <w:autoSpaceDN/>
        <w:bidi w:val="0"/>
        <w:spacing w:line="360" w:lineRule="auto"/>
        <w:ind w:left="0" w:leftChars="0" w:firstLine="420" w:firstLineChars="200"/>
        <w:jc w:val="center"/>
        <w:rPr>
          <w:rFonts w:hint="eastAsia" w:ascii="仿宋" w:hAnsi="仿宋" w:eastAsia="仿宋" w:cs="仿宋"/>
          <w:szCs w:val="21"/>
        </w:rPr>
      </w:pPr>
      <w:r>
        <w:rPr>
          <w:rFonts w:hint="eastAsia" w:ascii="仿宋" w:hAnsi="仿宋" w:eastAsia="仿宋" w:cs="仿宋"/>
          <w:szCs w:val="21"/>
        </w:rPr>
        <w:t>表1  概述</w:t>
      </w:r>
    </w:p>
    <w:tbl>
      <w:tblPr>
        <w:tblStyle w:val="10"/>
        <w:tblW w:w="9806" w:type="dxa"/>
        <w:jc w:val="center"/>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14"/>
        <w:gridCol w:w="1331"/>
        <w:gridCol w:w="1026"/>
        <w:gridCol w:w="1036"/>
        <w:gridCol w:w="292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序号</w:t>
            </w:r>
          </w:p>
        </w:tc>
        <w:tc>
          <w:tcPr>
            <w:tcW w:w="10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标段</w:t>
            </w:r>
          </w:p>
        </w:tc>
        <w:tc>
          <w:tcPr>
            <w:tcW w:w="133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承包范围</w:t>
            </w:r>
          </w:p>
        </w:tc>
        <w:tc>
          <w:tcPr>
            <w:tcW w:w="102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工程量(t)</w:t>
            </w:r>
          </w:p>
        </w:tc>
        <w:tc>
          <w:tcPr>
            <w:tcW w:w="103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合价（元）</w:t>
            </w:r>
          </w:p>
        </w:tc>
        <w:tc>
          <w:tcPr>
            <w:tcW w:w="292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招标依据</w:t>
            </w:r>
          </w:p>
        </w:tc>
        <w:tc>
          <w:tcPr>
            <w:tcW w:w="185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jc w:val="center"/>
        </w:trPr>
        <w:tc>
          <w:tcPr>
            <w:tcW w:w="62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w:t>
            </w:r>
          </w:p>
        </w:tc>
        <w:tc>
          <w:tcPr>
            <w:tcW w:w="10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某公司</w:t>
            </w:r>
          </w:p>
        </w:tc>
        <w:tc>
          <w:tcPr>
            <w:tcW w:w="133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napToGrid w:val="0"/>
                <w:kern w:val="0"/>
                <w:sz w:val="18"/>
                <w:szCs w:val="18"/>
              </w:rPr>
              <w:t>钢结构主立柱及</w:t>
            </w:r>
            <w:r>
              <w:rPr>
                <w:rFonts w:hint="eastAsia" w:ascii="仿宋" w:hAnsi="仿宋" w:eastAsia="仿宋" w:cs="仿宋"/>
                <w:sz w:val="18"/>
                <w:szCs w:val="18"/>
              </w:rPr>
              <w:t xml:space="preserve"> A-C轴线屋面钢结构桁架、防火</w:t>
            </w:r>
          </w:p>
        </w:tc>
        <w:tc>
          <w:tcPr>
            <w:tcW w:w="102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4899</w:t>
            </w:r>
          </w:p>
        </w:tc>
        <w:tc>
          <w:tcPr>
            <w:tcW w:w="1036"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bottom"/>
              <w:rPr>
                <w:rFonts w:hint="eastAsia" w:ascii="仿宋" w:hAnsi="仿宋" w:eastAsia="仿宋" w:cs="仿宋"/>
                <w:sz w:val="18"/>
                <w:szCs w:val="18"/>
              </w:rPr>
            </w:pPr>
            <w:r>
              <w:rPr>
                <w:rFonts w:hint="eastAsia" w:ascii="仿宋" w:hAnsi="仿宋" w:eastAsia="仿宋" w:cs="仿宋"/>
                <w:color w:val="000000"/>
                <w:kern w:val="0"/>
                <w:sz w:val="18"/>
                <w:szCs w:val="18"/>
              </w:rPr>
              <w:t>46398290</w:t>
            </w:r>
          </w:p>
        </w:tc>
        <w:tc>
          <w:tcPr>
            <w:tcW w:w="2924" w:type="dxa"/>
            <w:noWrap/>
            <w:vAlign w:val="center"/>
          </w:tcPr>
          <w:p>
            <w:pPr>
              <w:keepNext w:val="0"/>
              <w:keepLines w:val="0"/>
              <w:pageBreakBefore w:val="0"/>
              <w:numPr>
                <w:ilvl w:val="0"/>
                <w:numId w:val="3"/>
              </w:numPr>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sz w:val="18"/>
                <w:szCs w:val="18"/>
              </w:rPr>
              <w:t>工程量按概算工程量；</w:t>
            </w:r>
          </w:p>
          <w:p>
            <w:pPr>
              <w:keepNext w:val="0"/>
              <w:keepLines w:val="0"/>
              <w:pageBreakBefore w:val="0"/>
              <w:numPr>
                <w:ilvl w:val="0"/>
                <w:numId w:val="3"/>
              </w:numPr>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sz w:val="18"/>
                <w:szCs w:val="18"/>
              </w:rPr>
              <w:t>定额选用：</w:t>
            </w:r>
            <w:bookmarkStart w:id="1" w:name="OLE_LINK17"/>
            <w:bookmarkStart w:id="2" w:name="OLE_LINK16"/>
            <w:bookmarkStart w:id="3" w:name="OLE_LINK43"/>
            <w:bookmarkStart w:id="4" w:name="OLE_LINK44"/>
            <w:bookmarkStart w:id="5" w:name="OLE_LINK15"/>
            <w:r>
              <w:rPr>
                <w:rFonts w:hint="eastAsia" w:ascii="仿宋" w:hAnsi="仿宋" w:eastAsia="仿宋" w:cs="仿宋"/>
                <w:sz w:val="18"/>
                <w:szCs w:val="18"/>
              </w:rPr>
              <w:t>《2013年版电力建设工程定额估价表》</w:t>
            </w:r>
            <w:bookmarkEnd w:id="1"/>
            <w:bookmarkEnd w:id="2"/>
            <w:bookmarkEnd w:id="3"/>
            <w:bookmarkEnd w:id="4"/>
            <w:bookmarkEnd w:id="5"/>
            <w:r>
              <w:rPr>
                <w:rFonts w:hint="eastAsia" w:ascii="仿宋" w:hAnsi="仿宋" w:eastAsia="仿宋" w:cs="仿宋"/>
                <w:sz w:val="18"/>
                <w:szCs w:val="18"/>
              </w:rPr>
              <w:t>概算册；</w:t>
            </w:r>
          </w:p>
          <w:p>
            <w:pPr>
              <w:keepNext w:val="0"/>
              <w:keepLines w:val="0"/>
              <w:pageBreakBefore w:val="0"/>
              <w:numPr>
                <w:ilvl w:val="0"/>
                <w:numId w:val="3"/>
              </w:numPr>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sz w:val="18"/>
                <w:szCs w:val="18"/>
              </w:rPr>
              <w:t>材料价格选用2017年第３期《深圳建设工程价格信息》。</w:t>
            </w:r>
          </w:p>
        </w:tc>
        <w:tc>
          <w:tcPr>
            <w:tcW w:w="185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钢结构吊车梁、钢轨、钢平台、爬梯及栏杆、盖板及格栅板不涉及价格补偿，不做分析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w:t>
            </w:r>
          </w:p>
        </w:tc>
        <w:tc>
          <w:tcPr>
            <w:tcW w:w="10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lang w:val="en-US" w:eastAsia="zh-CN"/>
              </w:rPr>
            </w:pPr>
            <w:r>
              <w:rPr>
                <w:rFonts w:hint="eastAsia" w:ascii="仿宋" w:hAnsi="仿宋" w:eastAsia="仿宋" w:cs="仿宋"/>
                <w:sz w:val="18"/>
                <w:szCs w:val="18"/>
              </w:rPr>
              <w:t>某局</w:t>
            </w:r>
          </w:p>
        </w:tc>
        <w:tc>
          <w:tcPr>
            <w:tcW w:w="133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C-D、D-E轴线屋面钢结构及其他、防火</w:t>
            </w:r>
          </w:p>
        </w:tc>
        <w:tc>
          <w:tcPr>
            <w:tcW w:w="102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5627</w:t>
            </w:r>
          </w:p>
        </w:tc>
        <w:tc>
          <w:tcPr>
            <w:tcW w:w="103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63122334</w:t>
            </w:r>
          </w:p>
        </w:tc>
        <w:tc>
          <w:tcPr>
            <w:tcW w:w="2924" w:type="dxa"/>
            <w:noWrap/>
            <w:vAlign w:val="center"/>
          </w:tcPr>
          <w:p>
            <w:pPr>
              <w:keepNext w:val="0"/>
              <w:keepLines w:val="0"/>
              <w:pageBreakBefore w:val="0"/>
              <w:numPr>
                <w:ilvl w:val="0"/>
                <w:numId w:val="4"/>
              </w:numPr>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sz w:val="18"/>
                <w:szCs w:val="18"/>
              </w:rPr>
              <w:t>工程量按施工图算量；</w:t>
            </w:r>
          </w:p>
          <w:p>
            <w:pPr>
              <w:keepNext w:val="0"/>
              <w:keepLines w:val="0"/>
              <w:pageBreakBefore w:val="0"/>
              <w:numPr>
                <w:ilvl w:val="0"/>
                <w:numId w:val="4"/>
              </w:numPr>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sz w:val="18"/>
                <w:szCs w:val="18"/>
              </w:rPr>
              <w:t>定额选用：《深圳装配式建筑工程消耗量定额》（2016）；</w:t>
            </w:r>
          </w:p>
          <w:p>
            <w:pPr>
              <w:keepNext w:val="0"/>
              <w:keepLines w:val="0"/>
              <w:pageBreakBefore w:val="0"/>
              <w:numPr>
                <w:ilvl w:val="0"/>
                <w:numId w:val="4"/>
              </w:numPr>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sz w:val="18"/>
                <w:szCs w:val="18"/>
              </w:rPr>
              <w:t>材料价格选用2018年第4月《深圳建设工程价格信息》。</w:t>
            </w:r>
          </w:p>
        </w:tc>
        <w:tc>
          <w:tcPr>
            <w:tcW w:w="185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3</w:t>
            </w:r>
          </w:p>
        </w:tc>
        <w:tc>
          <w:tcPr>
            <w:tcW w:w="10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合计</w:t>
            </w:r>
          </w:p>
        </w:tc>
        <w:tc>
          <w:tcPr>
            <w:tcW w:w="133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p>
        </w:tc>
        <w:tc>
          <w:tcPr>
            <w:tcW w:w="102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10526</w:t>
            </w:r>
          </w:p>
        </w:tc>
        <w:tc>
          <w:tcPr>
            <w:tcW w:w="103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109520624</w:t>
            </w:r>
          </w:p>
        </w:tc>
        <w:tc>
          <w:tcPr>
            <w:tcW w:w="292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p>
        </w:tc>
        <w:tc>
          <w:tcPr>
            <w:tcW w:w="185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p>
        </w:tc>
      </w:tr>
    </w:tbl>
    <w:p>
      <w:pPr>
        <w:pStyle w:val="3"/>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color w:val="000000"/>
          <w:sz w:val="24"/>
          <w:szCs w:val="24"/>
        </w:rPr>
      </w:pP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二、钢结构价格差异分析</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对比某公司和某局的钢结构承包合同，钢结构价格差异的产生主要有三个因素：</w:t>
      </w:r>
    </w:p>
    <w:p>
      <w:pPr>
        <w:keepNext w:val="0"/>
        <w:keepLines w:val="0"/>
        <w:pageBreakBefore w:val="0"/>
        <w:kinsoku/>
        <w:wordWrap/>
        <w:overflowPunct/>
        <w:topLinePunct w:val="0"/>
        <w:autoSpaceDE/>
        <w:autoSpaceDN/>
        <w:bidi w:val="0"/>
        <w:adjustRightInd w:val="0"/>
        <w:snapToGrid w:val="0"/>
        <w:spacing w:line="360" w:lineRule="auto"/>
        <w:ind w:left="0" w:leftChars="0" w:firstLine="477" w:firstLineChars="198"/>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1．招标时间段不同造成的市场材料的变化</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napToGrid w:val="0"/>
          <w:kern w:val="0"/>
          <w:sz w:val="24"/>
          <w:szCs w:val="24"/>
        </w:rPr>
        <w:t>两个标段的招标时间段不同，某公司的钢结构材料价格是依据</w:t>
      </w:r>
      <w:r>
        <w:rPr>
          <w:rFonts w:hint="eastAsia" w:ascii="仿宋" w:hAnsi="仿宋" w:eastAsia="仿宋" w:cs="仿宋"/>
          <w:sz w:val="24"/>
          <w:szCs w:val="24"/>
        </w:rPr>
        <w:t>2017年第３期《深圳建设工程价格信息》，某局的材料价格是依据2018年第4月《深圳建设工程价格信息》。而对应的时间段内，钢材市场由于铁矿石、环保等原因，原材料价格产生了较大波动。以１０ＭＭ钢板（Q235B）价格变化幅度进行比较，详见图1。</w:t>
      </w:r>
    </w:p>
    <w:p>
      <w:pPr>
        <w:keepNext w:val="0"/>
        <w:keepLines w:val="0"/>
        <w:pageBreakBefore w:val="0"/>
        <w:kinsoku/>
        <w:wordWrap/>
        <w:overflowPunct/>
        <w:topLinePunct w:val="0"/>
        <w:autoSpaceDE/>
        <w:autoSpaceDN/>
        <w:bidi w:val="0"/>
        <w:spacing w:line="360" w:lineRule="auto"/>
        <w:ind w:left="0" w:leftChars="0" w:firstLine="360" w:firstLineChars="200"/>
        <w:rPr>
          <w:rFonts w:hint="eastAsia" w:ascii="仿宋" w:hAnsi="仿宋" w:eastAsia="仿宋" w:cs="仿宋"/>
          <w:sz w:val="24"/>
          <w:szCs w:val="24"/>
        </w:rPr>
      </w:pPr>
      <w:r>
        <w:rPr>
          <w:rFonts w:hint="eastAsia" w:ascii="仿宋" w:hAnsi="仿宋" w:eastAsia="仿宋" w:cs="仿宋"/>
          <w:sz w:val="18"/>
          <w:szCs w:val="18"/>
        </w:rPr>
        <w:drawing>
          <wp:inline distT="0" distB="0" distL="114300" distR="114300">
            <wp:extent cx="4572000" cy="2743200"/>
            <wp:effectExtent l="4445" t="4445" r="8255" b="825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kinsoku/>
        <w:wordWrap/>
        <w:overflowPunct/>
        <w:topLinePunct w:val="0"/>
        <w:autoSpaceDE/>
        <w:autoSpaceDN/>
        <w:bidi w:val="0"/>
        <w:spacing w:line="360" w:lineRule="auto"/>
        <w:ind w:left="0" w:leftChars="0" w:firstLine="420" w:firstLineChars="200"/>
        <w:jc w:val="center"/>
        <w:rPr>
          <w:rFonts w:hint="eastAsia" w:ascii="仿宋" w:hAnsi="仿宋" w:eastAsia="仿宋" w:cs="仿宋"/>
          <w:szCs w:val="21"/>
        </w:rPr>
      </w:pPr>
      <w:r>
        <w:rPr>
          <w:rFonts w:hint="eastAsia" w:ascii="仿宋" w:hAnsi="仿宋" w:eastAsia="仿宋" w:cs="仿宋"/>
          <w:szCs w:val="21"/>
        </w:rPr>
        <w:t>图1  10mm厚Q235钢板市场价格波动曲线图</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2017年第３期（第2月）１０ＭＭ钢板（Q235B）市场价格为4370元/t,2018年第4月１０ＭＭ钢板（Q235B）市场价格为5165元/t，二者基准期材料价格相差795元/t，涨价幅度18.19%。</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sz w:val="24"/>
          <w:szCs w:val="24"/>
        </w:rPr>
      </w:pPr>
      <w:r>
        <w:rPr>
          <w:rFonts w:hint="eastAsia" w:ascii="仿宋" w:hAnsi="仿宋" w:eastAsia="仿宋" w:cs="仿宋"/>
          <w:b/>
          <w:bCs/>
          <w:snapToGrid w:val="0"/>
          <w:kern w:val="0"/>
          <w:sz w:val="24"/>
          <w:szCs w:val="24"/>
        </w:rPr>
        <w:t>2．选用定额不同且定额水平不一致</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napToGrid w:val="0"/>
          <w:kern w:val="0"/>
          <w:sz w:val="24"/>
          <w:szCs w:val="24"/>
        </w:rPr>
        <w:t>某公司编制价格时选用的定额是《2013年版电力建设工程定额估价表》概算册，某局选用的定额是《深圳装配式建筑工程消耗量定额》（2016）。电力定额适用火力发电工程，钢结构部分的定额适用于常规火电厂厂房钢构，其结构相对简单，工艺并不复杂。地方定额适用于所有的工业和民用建筑，根据工艺及施工特点有不同的定额可以选用。二者的定额水平不一致，为便于比较，现分别用不同定额计算钢结构柱的安装费（主材费按0计入，人工费按2018年4月。计算时不考虑其他任何特殊因素），详见表2（定额水平对比）。</w:t>
      </w:r>
    </w:p>
    <w:p>
      <w:pPr>
        <w:keepNext w:val="0"/>
        <w:keepLines w:val="0"/>
        <w:pageBreakBefore w:val="0"/>
        <w:kinsoku/>
        <w:wordWrap/>
        <w:overflowPunct/>
        <w:topLinePunct w:val="0"/>
        <w:autoSpaceDE/>
        <w:autoSpaceDN/>
        <w:bidi w:val="0"/>
        <w:spacing w:line="360" w:lineRule="auto"/>
        <w:ind w:left="0" w:leftChars="0" w:firstLine="480"/>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表2  定额水平对比（金额单位：人民币元）</w:t>
      </w:r>
    </w:p>
    <w:tbl>
      <w:tblPr>
        <w:tblStyle w:val="10"/>
        <w:tblW w:w="9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960"/>
        <w:gridCol w:w="579"/>
        <w:gridCol w:w="1003"/>
        <w:gridCol w:w="2379"/>
        <w:gridCol w:w="861"/>
        <w:gridCol w:w="775"/>
        <w:gridCol w:w="949"/>
        <w:gridCol w:w="85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序号</w:t>
            </w:r>
          </w:p>
        </w:tc>
        <w:tc>
          <w:tcPr>
            <w:tcW w:w="960"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选用定额</w:t>
            </w:r>
          </w:p>
        </w:tc>
        <w:tc>
          <w:tcPr>
            <w:tcW w:w="57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定额子目</w:t>
            </w:r>
          </w:p>
        </w:tc>
        <w:tc>
          <w:tcPr>
            <w:tcW w:w="1003"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子目名称</w:t>
            </w:r>
          </w:p>
        </w:tc>
        <w:tc>
          <w:tcPr>
            <w:tcW w:w="237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工作内容</w:t>
            </w:r>
          </w:p>
        </w:tc>
        <w:tc>
          <w:tcPr>
            <w:tcW w:w="86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人工费</w:t>
            </w:r>
          </w:p>
        </w:tc>
        <w:tc>
          <w:tcPr>
            <w:tcW w:w="77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材料费</w:t>
            </w:r>
          </w:p>
        </w:tc>
        <w:tc>
          <w:tcPr>
            <w:tcW w:w="94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机械费</w:t>
            </w:r>
          </w:p>
        </w:tc>
        <w:tc>
          <w:tcPr>
            <w:tcW w:w="85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其他</w:t>
            </w:r>
          </w:p>
        </w:tc>
        <w:tc>
          <w:tcPr>
            <w:tcW w:w="89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w:t>
            </w:r>
          </w:p>
        </w:tc>
        <w:tc>
          <w:tcPr>
            <w:tcW w:w="960"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地方定额</w:t>
            </w:r>
          </w:p>
        </w:tc>
        <w:tc>
          <w:tcPr>
            <w:tcW w:w="57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100002-2</w:t>
            </w:r>
          </w:p>
        </w:tc>
        <w:tc>
          <w:tcPr>
            <w:tcW w:w="1003"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钢柱安装 每根构件质量10.0t以内</w:t>
            </w:r>
          </w:p>
        </w:tc>
        <w:tc>
          <w:tcPr>
            <w:tcW w:w="237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构件加固、翻身就位、吊装矫正、拧紧螺栓、焊接固定。</w:t>
            </w:r>
          </w:p>
        </w:tc>
        <w:tc>
          <w:tcPr>
            <w:tcW w:w="86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1115.38</w:t>
            </w:r>
          </w:p>
        </w:tc>
        <w:tc>
          <w:tcPr>
            <w:tcW w:w="77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360.93</w:t>
            </w:r>
          </w:p>
        </w:tc>
        <w:tc>
          <w:tcPr>
            <w:tcW w:w="94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116.76</w:t>
            </w:r>
          </w:p>
        </w:tc>
        <w:tc>
          <w:tcPr>
            <w:tcW w:w="85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292.67</w:t>
            </w:r>
          </w:p>
        </w:tc>
        <w:tc>
          <w:tcPr>
            <w:tcW w:w="89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1885.74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2</w:t>
            </w:r>
          </w:p>
        </w:tc>
        <w:tc>
          <w:tcPr>
            <w:tcW w:w="960"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电力概算定额</w:t>
            </w:r>
          </w:p>
        </w:tc>
        <w:tc>
          <w:tcPr>
            <w:tcW w:w="57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GT8-3</w:t>
            </w:r>
          </w:p>
        </w:tc>
        <w:tc>
          <w:tcPr>
            <w:tcW w:w="1003"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主厂房钢结构 钢柱</w:t>
            </w:r>
          </w:p>
        </w:tc>
        <w:tc>
          <w:tcPr>
            <w:tcW w:w="237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color w:val="000000"/>
                <w:kern w:val="0"/>
                <w:sz w:val="18"/>
                <w:szCs w:val="18"/>
              </w:rPr>
              <w:t>1.材料矫正、放样、划线、截料、平直、钻孔、焊接、成品编号堆放； 2.防锈、清扫、擦掉油污、刷漆； 3.钢柱场内运输及装卸、拼装、起吊、就位、校正、焊接； 4.钢柱安装</w:t>
            </w:r>
          </w:p>
        </w:tc>
        <w:tc>
          <w:tcPr>
            <w:tcW w:w="86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58.1</w:t>
            </w:r>
          </w:p>
        </w:tc>
        <w:tc>
          <w:tcPr>
            <w:tcW w:w="77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110.035</w:t>
            </w:r>
          </w:p>
        </w:tc>
        <w:tc>
          <w:tcPr>
            <w:tcW w:w="94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376.08</w:t>
            </w:r>
          </w:p>
        </w:tc>
        <w:tc>
          <w:tcPr>
            <w:tcW w:w="851"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270.6</w:t>
            </w:r>
          </w:p>
        </w:tc>
        <w:tc>
          <w:tcPr>
            <w:tcW w:w="89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800.59</w:t>
            </w:r>
          </w:p>
        </w:tc>
      </w:tr>
    </w:tbl>
    <w:p>
      <w:pPr>
        <w:keepNext w:val="0"/>
        <w:keepLines w:val="0"/>
        <w:pageBreakBefore w:val="0"/>
        <w:kinsoku/>
        <w:wordWrap/>
        <w:overflowPunct/>
        <w:topLinePunct w:val="0"/>
        <w:autoSpaceDE/>
        <w:autoSpaceDN/>
        <w:bidi w:val="0"/>
        <w:spacing w:line="360" w:lineRule="auto"/>
        <w:ind w:left="0" w:leftChars="0" w:firstLine="48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地方定额钢管柱的安装综合单价是1885.74元/t,电力概算钢管柱的安装综合单价是800.59元/t。综上可见，对比钢结构安装，二者之间的价格差异为1085.15元/t。</w:t>
      </w:r>
    </w:p>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3.招标阶段设计深度不一致</w:t>
      </w:r>
    </w:p>
    <w:p>
      <w:pPr>
        <w:keepNext w:val="0"/>
        <w:keepLines w:val="0"/>
        <w:pageBreakBefore w:val="0"/>
        <w:kinsoku/>
        <w:wordWrap/>
        <w:overflowPunct/>
        <w:topLinePunct w:val="0"/>
        <w:autoSpaceDE/>
        <w:autoSpaceDN/>
        <w:bidi w:val="0"/>
        <w:spacing w:line="360" w:lineRule="auto"/>
        <w:ind w:left="0" w:leftChars="0" w:firstLine="482"/>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某公司招投标时无施工图，清单列项仅依据工程概算，没有详细的项目特征，招标控制价及投标报价时双方都只能依据常规的钢结构来进行考虑。如钢管柱的材质，招投标时均是按Q235B，而施工图材质为Q345B ；如防腐油漆的做法，招投标时只能参照概算定额含量来考虑，常规钢构所用油漆为防锈漆（底漆）、环氧云铁漆等（中间漆、面漆)，油漆厚度一般为150微米，而施工图所用油漆为环氧富锌底漆（底漆）、环氧云铁漆（中间漆）、丙烯酸聚氨酯面漆（面漆），油漆厚度不小于240微米。</w:t>
      </w:r>
    </w:p>
    <w:p>
      <w:pPr>
        <w:keepNext w:val="0"/>
        <w:keepLines w:val="0"/>
        <w:pageBreakBefore w:val="0"/>
        <w:kinsoku/>
        <w:wordWrap/>
        <w:overflowPunct/>
        <w:topLinePunct w:val="0"/>
        <w:autoSpaceDE/>
        <w:autoSpaceDN/>
        <w:bidi w:val="0"/>
        <w:spacing w:line="360" w:lineRule="auto"/>
        <w:ind w:left="0" w:leftChars="0" w:firstLine="482"/>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某局招投标时，设计院已出版详细的施工图纸，工艺特点都能很明显的体现在清单特征内。</w:t>
      </w:r>
    </w:p>
    <w:p>
      <w:pPr>
        <w:keepNext w:val="0"/>
        <w:keepLines w:val="0"/>
        <w:pageBreakBefore w:val="0"/>
        <w:kinsoku/>
        <w:wordWrap/>
        <w:overflowPunct/>
        <w:topLinePunct w:val="0"/>
        <w:autoSpaceDE/>
        <w:autoSpaceDN/>
        <w:bidi w:val="0"/>
        <w:spacing w:line="360" w:lineRule="auto"/>
        <w:ind w:left="0" w:leftChars="0" w:firstLine="482"/>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设计深度的不一致也是造成价格差异的主要因素，详见表3、表4。</w:t>
      </w:r>
    </w:p>
    <w:p>
      <w:pPr>
        <w:keepNext w:val="0"/>
        <w:keepLines w:val="0"/>
        <w:pageBreakBefore w:val="0"/>
        <w:kinsoku/>
        <w:wordWrap/>
        <w:overflowPunct/>
        <w:topLinePunct w:val="0"/>
        <w:autoSpaceDE/>
        <w:autoSpaceDN/>
        <w:bidi w:val="0"/>
        <w:spacing w:line="360" w:lineRule="auto"/>
        <w:ind w:left="0" w:leftChars="0" w:firstLine="482"/>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表3  材质价格差异比较（金额单位：人民币元）</w:t>
      </w:r>
    </w:p>
    <w:tbl>
      <w:tblPr>
        <w:tblStyle w:val="10"/>
        <w:tblW w:w="7219" w:type="dxa"/>
        <w:jc w:val="center"/>
        <w:tblInd w:w="1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序号</w:t>
            </w:r>
          </w:p>
        </w:tc>
        <w:tc>
          <w:tcPr>
            <w:tcW w:w="2130"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钢结构材质</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材料价格（元）</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w:t>
            </w:r>
          </w:p>
        </w:tc>
        <w:tc>
          <w:tcPr>
            <w:tcW w:w="2130"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Q235B</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4906.86</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2</w:t>
            </w:r>
          </w:p>
        </w:tc>
        <w:tc>
          <w:tcPr>
            <w:tcW w:w="2130"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Q345B</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5057</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3</w:t>
            </w:r>
          </w:p>
        </w:tc>
        <w:tc>
          <w:tcPr>
            <w:tcW w:w="2130"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价格差值</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150.14</w:t>
            </w:r>
          </w:p>
        </w:tc>
        <w:tc>
          <w:tcPr>
            <w:tcW w:w="2131" w:type="dxa"/>
            <w:noWrap/>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p>
        </w:tc>
      </w:tr>
    </w:tbl>
    <w:p>
      <w:pPr>
        <w:keepNext w:val="0"/>
        <w:keepLines w:val="0"/>
        <w:pageBreakBefore w:val="0"/>
        <w:kinsoku/>
        <w:wordWrap/>
        <w:overflowPunct/>
        <w:topLinePunct w:val="0"/>
        <w:autoSpaceDE/>
        <w:autoSpaceDN/>
        <w:bidi w:val="0"/>
        <w:spacing w:line="360" w:lineRule="auto"/>
        <w:ind w:left="0" w:leftChars="0" w:firstLine="240" w:firstLineChars="1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说明：Q235B及Q345B材料价格按2017年1月~2018年9月平均价格计算。</w:t>
      </w:r>
    </w:p>
    <w:p>
      <w:pPr>
        <w:keepNext w:val="0"/>
        <w:keepLines w:val="0"/>
        <w:pageBreakBefore w:val="0"/>
        <w:kinsoku/>
        <w:wordWrap/>
        <w:overflowPunct/>
        <w:topLinePunct w:val="0"/>
        <w:autoSpaceDE/>
        <w:autoSpaceDN/>
        <w:bidi w:val="0"/>
        <w:spacing w:line="360" w:lineRule="auto"/>
        <w:ind w:left="0" w:leftChars="0" w:firstLine="482"/>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表4  防腐做法价格差异比较（金额单位：人民币元）</w:t>
      </w:r>
    </w:p>
    <w:tbl>
      <w:tblPr>
        <w:tblStyle w:val="10"/>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589"/>
        <w:gridCol w:w="210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序号</w:t>
            </w:r>
          </w:p>
        </w:tc>
        <w:tc>
          <w:tcPr>
            <w:tcW w:w="35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防腐做法</w:t>
            </w:r>
          </w:p>
        </w:tc>
        <w:tc>
          <w:tcPr>
            <w:tcW w:w="21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地方定额单价（元/㎡）</w:t>
            </w:r>
          </w:p>
        </w:tc>
        <w:tc>
          <w:tcPr>
            <w:tcW w:w="2127"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电力定额单价（元/t）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w:t>
            </w:r>
          </w:p>
        </w:tc>
        <w:tc>
          <w:tcPr>
            <w:tcW w:w="35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防锈漆（底漆）、环氧云铁漆等（中间漆、面漆)，油漆厚度一般为150微米</w:t>
            </w:r>
          </w:p>
        </w:tc>
        <w:tc>
          <w:tcPr>
            <w:tcW w:w="21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78.93</w:t>
            </w:r>
          </w:p>
        </w:tc>
        <w:tc>
          <w:tcPr>
            <w:tcW w:w="2127"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2093.72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2</w:t>
            </w:r>
          </w:p>
        </w:tc>
        <w:tc>
          <w:tcPr>
            <w:tcW w:w="35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环氧富锌底漆（底漆）、环氧云铁漆（中间漆）、丙烯酸聚氨酯面漆（面漆），油漆厚度不小于240微米</w:t>
            </w:r>
          </w:p>
        </w:tc>
        <w:tc>
          <w:tcPr>
            <w:tcW w:w="21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112.78</w:t>
            </w:r>
          </w:p>
        </w:tc>
        <w:tc>
          <w:tcPr>
            <w:tcW w:w="2127"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3027.61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3</w:t>
            </w:r>
          </w:p>
        </w:tc>
        <w:tc>
          <w:tcPr>
            <w:tcW w:w="35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价格差值（元/㎡,按11.91㎡/t换算）</w:t>
            </w:r>
          </w:p>
        </w:tc>
        <w:tc>
          <w:tcPr>
            <w:tcW w:w="21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33.85</w:t>
            </w:r>
          </w:p>
        </w:tc>
        <w:tc>
          <w:tcPr>
            <w:tcW w:w="2127"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78.41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4</w:t>
            </w:r>
          </w:p>
        </w:tc>
        <w:tc>
          <w:tcPr>
            <w:tcW w:w="358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价格差值（元/t，按11.91㎡/t换算）</w:t>
            </w:r>
          </w:p>
        </w:tc>
        <w:tc>
          <w:tcPr>
            <w:tcW w:w="21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403.15</w:t>
            </w:r>
          </w:p>
        </w:tc>
        <w:tc>
          <w:tcPr>
            <w:tcW w:w="2127"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933.89</w:t>
            </w:r>
          </w:p>
        </w:tc>
      </w:tr>
    </w:tbl>
    <w:p>
      <w:pPr>
        <w:pStyle w:val="3"/>
        <w:keepNext w:val="0"/>
        <w:keepLines w:val="0"/>
        <w:pageBreakBefore w:val="0"/>
        <w:kinsoku/>
        <w:wordWrap/>
        <w:overflowPunct/>
        <w:topLinePunct w:val="0"/>
        <w:autoSpaceDE/>
        <w:autoSpaceDN/>
        <w:bidi w:val="0"/>
        <w:spacing w:line="360" w:lineRule="auto"/>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三、主体合同价格与分包价格、市场价格的对比</w:t>
      </w:r>
    </w:p>
    <w:p>
      <w:pPr>
        <w:keepNext w:val="0"/>
        <w:keepLines w:val="0"/>
        <w:pageBreakBefore w:val="0"/>
        <w:kinsoku/>
        <w:wordWrap/>
        <w:overflowPunct/>
        <w:topLinePunct w:val="0"/>
        <w:autoSpaceDE/>
        <w:autoSpaceDN/>
        <w:bidi w:val="0"/>
        <w:spacing w:line="360" w:lineRule="auto"/>
        <w:ind w:left="0" w:leftChars="0" w:firstLine="482"/>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由于某公司和某局钢结构工程的实际施工期都是在2018年9月至12月，因此从公平公正的角度，二者的钢结构都应遵循客观市场价格。而依据主体合同的约定仅调整型钢（槽钢，工字钢，角钢，钢管柱）的材料价差及材质的价差：</w:t>
      </w:r>
      <w:r>
        <w:rPr>
          <w:rFonts w:hint="eastAsia" w:ascii="仿宋" w:hAnsi="仿宋" w:eastAsia="仿宋" w:cs="仿宋"/>
          <w:sz w:val="24"/>
          <w:szCs w:val="24"/>
        </w:rPr>
        <w:t>795+150.14=945.14元/t</w:t>
      </w:r>
      <w:r>
        <w:rPr>
          <w:rFonts w:hint="eastAsia" w:ascii="仿宋" w:hAnsi="仿宋" w:eastAsia="仿宋" w:cs="仿宋"/>
          <w:snapToGrid w:val="0"/>
          <w:kern w:val="0"/>
          <w:sz w:val="24"/>
          <w:szCs w:val="24"/>
        </w:rPr>
        <w:t>是不足以弥补钢结构市场变化差额的。</w:t>
      </w:r>
    </w:p>
    <w:p>
      <w:pPr>
        <w:keepNext w:val="0"/>
        <w:keepLines w:val="0"/>
        <w:pageBreakBefore w:val="0"/>
        <w:kinsoku/>
        <w:wordWrap/>
        <w:overflowPunct/>
        <w:topLinePunct w:val="0"/>
        <w:autoSpaceDE/>
        <w:autoSpaceDN/>
        <w:bidi w:val="0"/>
        <w:spacing w:line="360" w:lineRule="auto"/>
        <w:ind w:left="0" w:leftChars="0" w:firstLine="482"/>
        <w:rPr>
          <w:rFonts w:hint="eastAsia" w:ascii="仿宋" w:hAnsi="仿宋" w:eastAsia="仿宋" w:cs="仿宋"/>
          <w:snapToGrid w:val="0"/>
          <w:kern w:val="0"/>
          <w:szCs w:val="21"/>
        </w:rPr>
      </w:pPr>
      <w:r>
        <w:rPr>
          <w:rFonts w:hint="eastAsia" w:ascii="仿宋" w:hAnsi="仿宋" w:eastAsia="仿宋" w:cs="仿宋"/>
          <w:snapToGrid w:val="0"/>
          <w:kern w:val="0"/>
          <w:sz w:val="24"/>
          <w:szCs w:val="24"/>
        </w:rPr>
        <w:t>为更直观的体现市场价格差异，现将某公司主体合同钢结构部分的价格及某公司的分包价格进行比较，详见表5。</w:t>
      </w:r>
    </w:p>
    <w:tbl>
      <w:tblPr>
        <w:tblStyle w:val="9"/>
        <w:tblW w:w="9215" w:type="dxa"/>
        <w:tblInd w:w="-269" w:type="dxa"/>
        <w:tblLayout w:type="fixed"/>
        <w:tblCellMar>
          <w:top w:w="15" w:type="dxa"/>
          <w:left w:w="15" w:type="dxa"/>
          <w:bottom w:w="15" w:type="dxa"/>
          <w:right w:w="15" w:type="dxa"/>
        </w:tblCellMar>
      </w:tblPr>
      <w:tblGrid>
        <w:gridCol w:w="493"/>
        <w:gridCol w:w="784"/>
        <w:gridCol w:w="850"/>
        <w:gridCol w:w="481"/>
        <w:gridCol w:w="407"/>
        <w:gridCol w:w="662"/>
        <w:gridCol w:w="1029"/>
        <w:gridCol w:w="482"/>
        <w:gridCol w:w="341"/>
        <w:gridCol w:w="851"/>
        <w:gridCol w:w="708"/>
        <w:gridCol w:w="851"/>
        <w:gridCol w:w="1276"/>
      </w:tblGrid>
      <w:tr>
        <w:tblPrEx>
          <w:tblLayout w:type="fixed"/>
          <w:tblCellMar>
            <w:top w:w="15" w:type="dxa"/>
            <w:left w:w="15" w:type="dxa"/>
            <w:bottom w:w="15" w:type="dxa"/>
            <w:right w:w="15" w:type="dxa"/>
          </w:tblCellMar>
        </w:tblPrEx>
        <w:trPr>
          <w:trHeight w:val="613" w:hRule="atLeast"/>
        </w:trPr>
        <w:tc>
          <w:tcPr>
            <w:tcW w:w="9215" w:type="dxa"/>
            <w:gridSpan w:val="13"/>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Cs w:val="21"/>
              </w:rPr>
            </w:pPr>
            <w:r>
              <w:rPr>
                <w:rFonts w:hint="eastAsia" w:ascii="仿宋" w:hAnsi="仿宋" w:eastAsia="仿宋" w:cs="仿宋"/>
                <w:snapToGrid w:val="0"/>
                <w:kern w:val="0"/>
                <w:szCs w:val="21"/>
              </w:rPr>
              <w:t>表5  分包工程量及单价-</w:t>
            </w:r>
            <w:r>
              <w:rPr>
                <w:rFonts w:hint="eastAsia" w:ascii="仿宋" w:hAnsi="仿宋" w:eastAsia="仿宋" w:cs="仿宋"/>
                <w:color w:val="000000"/>
                <w:kern w:val="0"/>
                <w:szCs w:val="21"/>
              </w:rPr>
              <w:t>钢结构合同价格比较</w:t>
            </w:r>
          </w:p>
        </w:tc>
      </w:tr>
      <w:tr>
        <w:tblPrEx>
          <w:tblLayout w:type="fixed"/>
          <w:tblCellMar>
            <w:top w:w="15" w:type="dxa"/>
            <w:left w:w="15" w:type="dxa"/>
            <w:bottom w:w="15" w:type="dxa"/>
            <w:right w:w="15" w:type="dxa"/>
          </w:tblCellMar>
        </w:tblPrEx>
        <w:trPr>
          <w:trHeight w:val="253" w:hRule="atLeast"/>
        </w:trPr>
        <w:tc>
          <w:tcPr>
            <w:tcW w:w="9215" w:type="dxa"/>
            <w:gridSpan w:val="13"/>
            <w:noWrap/>
            <w:vAlign w:val="center"/>
          </w:tcPr>
          <w:p>
            <w:pPr>
              <w:keepNext w:val="0"/>
              <w:keepLines w:val="0"/>
              <w:pageBreakBefore w:val="0"/>
              <w:widowControl/>
              <w:kinsoku/>
              <w:wordWrap/>
              <w:overflowPunct/>
              <w:topLinePunct w:val="0"/>
              <w:autoSpaceDE/>
              <w:autoSpaceDN/>
              <w:bidi w:val="0"/>
              <w:spacing w:line="360" w:lineRule="auto"/>
              <w:ind w:left="0" w:leftChars="0"/>
              <w:jc w:val="righ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金额单位：人民币元</w:t>
            </w:r>
          </w:p>
        </w:tc>
      </w:tr>
      <w:tr>
        <w:tblPrEx>
          <w:tblLayout w:type="fixed"/>
          <w:tblCellMar>
            <w:top w:w="15" w:type="dxa"/>
            <w:left w:w="15" w:type="dxa"/>
            <w:bottom w:w="15" w:type="dxa"/>
            <w:right w:w="15" w:type="dxa"/>
          </w:tblCellMar>
        </w:tblPrEx>
        <w:trPr>
          <w:trHeight w:val="660"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序号</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项目编码</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257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签约合同价格</w:t>
            </w:r>
          </w:p>
        </w:tc>
        <w:tc>
          <w:tcPr>
            <w:tcW w:w="450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分包合同工程量及单价</w:t>
            </w:r>
          </w:p>
        </w:tc>
      </w:tr>
      <w:tr>
        <w:tblPrEx>
          <w:tblLayout w:type="fixed"/>
          <w:tblCellMar>
            <w:top w:w="15" w:type="dxa"/>
            <w:left w:w="15" w:type="dxa"/>
            <w:bottom w:w="15" w:type="dxa"/>
            <w:right w:w="15" w:type="dxa"/>
          </w:tblCellMar>
        </w:tblPrEx>
        <w:trPr>
          <w:trHeight w:val="66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计量单位</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综合单价①</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综合合价②</w:t>
            </w: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单位</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制作费</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施工费</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综合单价③</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综合合价④</w:t>
            </w:r>
          </w:p>
        </w:tc>
      </w:tr>
      <w:tr>
        <w:tblPrEx>
          <w:tblLayout w:type="fixed"/>
          <w:tblCellMar>
            <w:top w:w="15" w:type="dxa"/>
            <w:left w:w="15" w:type="dxa"/>
            <w:bottom w:w="15" w:type="dxa"/>
            <w:right w:w="15" w:type="dxa"/>
          </w:tblCellMar>
        </w:tblPrEx>
        <w:trPr>
          <w:trHeight w:val="63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1.1.1.10 主厂房钢结构及钢筋</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3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FT0111H13001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钢结构柱</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1344 </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7934.31 </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10663713.96 </w:t>
            </w: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1144 </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11009.46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3025.00 </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14034.46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16055422.24 </w:t>
            </w:r>
          </w:p>
        </w:tc>
      </w:tr>
      <w:tr>
        <w:tblPrEx>
          <w:tblLayout w:type="fixed"/>
          <w:tblCellMar>
            <w:top w:w="15" w:type="dxa"/>
            <w:left w:w="15" w:type="dxa"/>
            <w:bottom w:w="15" w:type="dxa"/>
            <w:right w:w="15" w:type="dxa"/>
          </w:tblCellMar>
        </w:tblPrEx>
        <w:trPr>
          <w:trHeight w:val="63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FT0111H14001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钢结构梁</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1564 </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7923.63 </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12392552.93 </w:t>
            </w: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0.00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0.00 </w:t>
            </w:r>
          </w:p>
        </w:tc>
      </w:tr>
      <w:tr>
        <w:tblPrEx>
          <w:tblLayout w:type="fixed"/>
          <w:tblCellMar>
            <w:top w:w="15" w:type="dxa"/>
            <w:left w:w="15" w:type="dxa"/>
            <w:bottom w:w="15" w:type="dxa"/>
            <w:right w:w="15" w:type="dxa"/>
          </w:tblCellMar>
        </w:tblPrEx>
        <w:trPr>
          <w:trHeight w:val="63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53</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FT0111H16001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钢结构支撑、桁架</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1991 </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7976.77 </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15881748.96 </w:t>
            </w: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1394 </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10824.11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2117.50 </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12941.61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18040604.34 </w:t>
            </w:r>
          </w:p>
        </w:tc>
      </w:tr>
      <w:tr>
        <w:tblPrEx>
          <w:tblLayout w:type="fixed"/>
          <w:tblCellMar>
            <w:top w:w="15" w:type="dxa"/>
            <w:left w:w="15" w:type="dxa"/>
            <w:bottom w:w="15" w:type="dxa"/>
            <w:right w:w="15" w:type="dxa"/>
          </w:tblCellMar>
        </w:tblPrEx>
        <w:trPr>
          <w:trHeight w:val="64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钢管屋架/桁架</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597 </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11160.71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2117.50 </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13278.21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7927091.37 </w:t>
            </w:r>
          </w:p>
        </w:tc>
      </w:tr>
      <w:tr>
        <w:tblPrEx>
          <w:tblLayout w:type="fixed"/>
          <w:tblCellMar>
            <w:top w:w="15" w:type="dxa"/>
            <w:left w:w="15" w:type="dxa"/>
            <w:bottom w:w="15" w:type="dxa"/>
            <w:right w:w="15" w:type="dxa"/>
          </w:tblCellMar>
        </w:tblPrEx>
        <w:trPr>
          <w:trHeight w:val="63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FT0111H31001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钢结构防火</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4900 </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1522.50 </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7460274.06 </w:t>
            </w: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12152 </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93.06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93.06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1130865.12 </w:t>
            </w:r>
          </w:p>
        </w:tc>
      </w:tr>
      <w:tr>
        <w:tblPrEx>
          <w:tblLayout w:type="fixed"/>
          <w:tblCellMar>
            <w:top w:w="15" w:type="dxa"/>
            <w:left w:w="15" w:type="dxa"/>
            <w:bottom w:w="15" w:type="dxa"/>
            <w:right w:w="15" w:type="dxa"/>
          </w:tblCellMar>
        </w:tblPrEx>
        <w:trPr>
          <w:trHeight w:val="4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12152 </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104.72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104.72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1272557.44 </w:t>
            </w:r>
          </w:p>
        </w:tc>
      </w:tr>
      <w:tr>
        <w:tblPrEx>
          <w:tblLayout w:type="fixed"/>
          <w:tblCellMar>
            <w:top w:w="15" w:type="dxa"/>
            <w:left w:w="15" w:type="dxa"/>
            <w:bottom w:w="15" w:type="dxa"/>
            <w:right w:w="15" w:type="dxa"/>
          </w:tblCellMar>
        </w:tblPrEx>
        <w:trPr>
          <w:trHeight w:val="534"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12152 </w:t>
            </w: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151.36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151.36 </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1839326.72 </w:t>
            </w:r>
          </w:p>
        </w:tc>
      </w:tr>
      <w:tr>
        <w:tblPrEx>
          <w:tblLayout w:type="fixed"/>
          <w:tblCellMar>
            <w:top w:w="15" w:type="dxa"/>
            <w:left w:w="15" w:type="dxa"/>
            <w:bottom w:w="15" w:type="dxa"/>
            <w:right w:w="15" w:type="dxa"/>
          </w:tblCellMar>
        </w:tblPrEx>
        <w:trPr>
          <w:trHeight w:val="63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FF0000"/>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FF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sz w:val="18"/>
                <w:szCs w:val="18"/>
              </w:rPr>
            </w:pPr>
            <w:r>
              <w:rPr>
                <w:rFonts w:hint="eastAsia" w:ascii="仿宋" w:hAnsi="仿宋" w:eastAsia="仿宋" w:cs="仿宋"/>
                <w:b/>
                <w:kern w:val="0"/>
                <w:sz w:val="18"/>
                <w:szCs w:val="18"/>
              </w:rPr>
              <w:t>合计</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sz w:val="18"/>
                <w:szCs w:val="18"/>
              </w:rPr>
            </w:pPr>
            <w:r>
              <w:rPr>
                <w:rFonts w:hint="eastAsia" w:ascii="仿宋" w:hAnsi="仿宋" w:eastAsia="仿宋" w:cs="仿宋"/>
                <w:b/>
                <w:kern w:val="0"/>
                <w:sz w:val="18"/>
                <w:szCs w:val="18"/>
              </w:rPr>
              <w:t>46398289.91</w:t>
            </w:r>
          </w:p>
        </w:tc>
        <w:tc>
          <w:tcPr>
            <w:tcW w:w="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sz w:val="18"/>
                <w:szCs w:val="18"/>
              </w:rPr>
            </w:pPr>
            <w:r>
              <w:rPr>
                <w:rFonts w:hint="eastAsia" w:ascii="仿宋" w:hAnsi="仿宋" w:eastAsia="仿宋" w:cs="仿宋"/>
                <w:b/>
                <w:kern w:val="0"/>
                <w:sz w:val="18"/>
                <w:szCs w:val="18"/>
              </w:rPr>
              <w:t>46265867.23</w:t>
            </w:r>
          </w:p>
        </w:tc>
      </w:tr>
    </w:tbl>
    <w:p>
      <w:pPr>
        <w:keepNext w:val="0"/>
        <w:keepLines w:val="0"/>
        <w:pageBreakBefore w:val="0"/>
        <w:kinsoku/>
        <w:wordWrap/>
        <w:overflowPunct/>
        <w:topLinePunct w:val="0"/>
        <w:autoSpaceDE/>
        <w:autoSpaceDN/>
        <w:bidi w:val="0"/>
        <w:spacing w:line="360" w:lineRule="auto"/>
        <w:ind w:left="0" w:leftChars="0" w:firstLine="482"/>
        <w:rPr>
          <w:rFonts w:hint="eastAsia" w:ascii="仿宋" w:hAnsi="仿宋" w:eastAsia="仿宋" w:cs="仿宋"/>
          <w:sz w:val="24"/>
          <w:szCs w:val="24"/>
        </w:rPr>
      </w:pPr>
      <w:r>
        <w:rPr>
          <w:rFonts w:hint="eastAsia" w:ascii="仿宋" w:hAnsi="仿宋" w:eastAsia="仿宋" w:cs="仿宋"/>
          <w:sz w:val="24"/>
          <w:szCs w:val="24"/>
        </w:rPr>
        <w:t>特殊说明：某公司主体合同中钢结构柱、钢结构梁及桁架的工程量是4899t，合价是46398289元；分包合同中钢结构柱、钢结构梁及桁架的工程量是3135t，合价是46265867元。工程量差异的原因是主体合同钢结构的合价相当于分包招标的招标上限价，而只有减少工程量才能保证总价不超，并不代表实际工程量只有3135t。上表中钢结构防火分别是按1h/1.5h/2.5h按㎡进行分包招标的。为便于比较，现按6500t（预估结算工程量）钢结构总量以分包单价进行测算，详见表6。按6500t钢结构总量以某局单价进行测算，详见表7。</w:t>
      </w: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Cs w:val="21"/>
        </w:rPr>
      </w:pPr>
      <w:r>
        <w:rPr>
          <w:rFonts w:hint="eastAsia" w:ascii="仿宋" w:hAnsi="仿宋" w:eastAsia="仿宋" w:cs="仿宋"/>
          <w:szCs w:val="21"/>
        </w:rPr>
        <w:t>表6  6500T总量及分包单价-</w:t>
      </w:r>
      <w:r>
        <w:rPr>
          <w:rFonts w:hint="eastAsia" w:ascii="仿宋" w:hAnsi="仿宋" w:eastAsia="仿宋" w:cs="仿宋"/>
          <w:color w:val="000000"/>
          <w:kern w:val="0"/>
          <w:szCs w:val="21"/>
        </w:rPr>
        <w:t>钢结构合同价格比较</w:t>
      </w:r>
    </w:p>
    <w:tbl>
      <w:tblPr>
        <w:tblStyle w:val="9"/>
        <w:tblW w:w="10131" w:type="dxa"/>
        <w:jc w:val="center"/>
        <w:tblInd w:w="-1082" w:type="dxa"/>
        <w:shd w:val="clear" w:color="auto" w:fill="FFFFFF"/>
        <w:tblLayout w:type="fixed"/>
        <w:tblCellMar>
          <w:top w:w="15" w:type="dxa"/>
          <w:left w:w="15" w:type="dxa"/>
          <w:bottom w:w="15" w:type="dxa"/>
          <w:right w:w="15" w:type="dxa"/>
        </w:tblCellMar>
      </w:tblPr>
      <w:tblGrid>
        <w:gridCol w:w="425"/>
        <w:gridCol w:w="568"/>
        <w:gridCol w:w="814"/>
        <w:gridCol w:w="567"/>
        <w:gridCol w:w="567"/>
        <w:gridCol w:w="787"/>
        <w:gridCol w:w="1134"/>
        <w:gridCol w:w="634"/>
        <w:gridCol w:w="194"/>
        <w:gridCol w:w="732"/>
        <w:gridCol w:w="992"/>
        <w:gridCol w:w="850"/>
        <w:gridCol w:w="1158"/>
        <w:gridCol w:w="709"/>
      </w:tblGrid>
      <w:tr>
        <w:tblPrEx>
          <w:shd w:val="clear" w:color="auto" w:fill="FFFFFF"/>
          <w:tblLayout w:type="fixed"/>
          <w:tblCellMar>
            <w:top w:w="15" w:type="dxa"/>
            <w:left w:w="15" w:type="dxa"/>
            <w:bottom w:w="15" w:type="dxa"/>
            <w:right w:w="15" w:type="dxa"/>
          </w:tblCellMar>
        </w:tblPrEx>
        <w:trPr>
          <w:trHeight w:val="253" w:hRule="atLeast"/>
          <w:jc w:val="center"/>
        </w:trPr>
        <w:tc>
          <w:tcPr>
            <w:tcW w:w="10131" w:type="dxa"/>
            <w:gridSpan w:val="14"/>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righ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金额单位：人民币元</w:t>
            </w:r>
          </w:p>
        </w:tc>
      </w:tr>
      <w:tr>
        <w:tblPrEx>
          <w:shd w:val="clear" w:color="auto" w:fill="FFFFFF"/>
          <w:tblLayout w:type="fixed"/>
          <w:tblCellMar>
            <w:top w:w="15" w:type="dxa"/>
            <w:left w:w="15" w:type="dxa"/>
            <w:bottom w:w="15" w:type="dxa"/>
            <w:right w:w="15" w:type="dxa"/>
          </w:tblCellMar>
        </w:tblPrEx>
        <w:trPr>
          <w:trHeight w:val="660"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序号</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项目编码</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305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签约合同价格</w:t>
            </w:r>
          </w:p>
        </w:tc>
        <w:tc>
          <w:tcPr>
            <w:tcW w:w="526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分包合同单价</w:t>
            </w:r>
          </w:p>
        </w:tc>
      </w:tr>
      <w:tr>
        <w:tblPrEx>
          <w:shd w:val="clear" w:color="auto" w:fill="FFFFFF"/>
          <w:tblLayout w:type="fixed"/>
          <w:tblCellMar>
            <w:top w:w="15" w:type="dxa"/>
            <w:left w:w="15" w:type="dxa"/>
            <w:bottom w:w="15" w:type="dxa"/>
            <w:right w:w="15" w:type="dxa"/>
          </w:tblCellMar>
        </w:tblPrEx>
        <w:trPr>
          <w:trHeight w:val="660"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计量单位</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综合单价①</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综合合价②</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综合单价⑦</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综合合价⑧</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单价差异（⑦-①）</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合价差异（⑧-②）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备注</w:t>
            </w: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1.1.1.10 主厂房钢结构及钢筋</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FT0111H13001</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钢结构柱</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1783</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7934.31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14148615.69</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1783</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14034.46</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25026518.53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6100.15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10877902.85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FT0111H14001</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钢结构梁</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2075</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7923.63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16442439.22</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2075</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12941.61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26855331.62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5017.98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10412892.4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分包合同无此项，拟参桁架1价格</w:t>
            </w: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53</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FT0111H16001</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钢结构支撑、桁架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2642</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7976.77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21071904.52</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1850</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12941.61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23936273.84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4964.84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2864369.32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钢管屋架/桁架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792</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13278.21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10517664.83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13278.21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10517664.83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FT0111H31001</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钢结构防火</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6500</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1522.50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9896281.92</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25805</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93.06</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2401413.3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-886724.215</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工程量按11.91㎡/t换算</w:t>
            </w:r>
          </w:p>
        </w:tc>
      </w:tr>
      <w:tr>
        <w:tblPrEx>
          <w:shd w:val="clear" w:color="auto" w:fill="FFFFFF"/>
          <w:tblLayout w:type="fixed"/>
          <w:tblCellMar>
            <w:top w:w="15" w:type="dxa"/>
            <w:left w:w="15" w:type="dxa"/>
            <w:bottom w:w="15" w:type="dxa"/>
            <w:right w:w="15" w:type="dxa"/>
          </w:tblCellMar>
        </w:tblPrEx>
        <w:trPr>
          <w:trHeight w:val="382"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25805</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104.72</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2702299.6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25805</w:t>
            </w: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151.36</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3905844.8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09" w:type="dxa"/>
            <w:tcBorders>
              <w:top w:val="single" w:color="000000" w:sz="4" w:space="0"/>
              <w:left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shd w:val="clear" w:color="auto" w:fill="FFFFFF"/>
          <w:tblLayout w:type="fixed"/>
          <w:tblCellMar>
            <w:top w:w="15" w:type="dxa"/>
            <w:left w:w="15" w:type="dxa"/>
            <w:bottom w:w="15" w:type="dxa"/>
            <w:right w:w="15" w:type="dxa"/>
          </w:tblCellMar>
        </w:tblPrEx>
        <w:trPr>
          <w:trHeight w:val="636" w:hRule="atLeast"/>
          <w:jc w:val="center"/>
        </w:trPr>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color w:val="FF0000"/>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b/>
                <w:sz w:val="18"/>
                <w:szCs w:val="18"/>
              </w:rPr>
            </w:pPr>
            <w:r>
              <w:rPr>
                <w:rFonts w:hint="eastAsia" w:ascii="仿宋" w:hAnsi="仿宋" w:eastAsia="仿宋" w:cs="仿宋"/>
                <w:b/>
                <w:color w:val="000000"/>
                <w:kern w:val="0"/>
                <w:sz w:val="18"/>
                <w:szCs w:val="18"/>
              </w:rPr>
              <w:t>61559241.34</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b/>
                <w:sz w:val="18"/>
                <w:szCs w:val="18"/>
              </w:rPr>
            </w:pPr>
            <w:r>
              <w:rPr>
                <w:rFonts w:hint="eastAsia" w:ascii="仿宋" w:hAnsi="仿宋" w:eastAsia="仿宋" w:cs="仿宋"/>
                <w:b/>
                <w:color w:val="000000"/>
                <w:kern w:val="0"/>
                <w:sz w:val="18"/>
                <w:szCs w:val="18"/>
              </w:rPr>
              <w:t>95345346.53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b/>
                <w:sz w:val="18"/>
                <w:szCs w:val="18"/>
              </w:rPr>
            </w:pPr>
            <w:r>
              <w:rPr>
                <w:rFonts w:hint="eastAsia" w:ascii="仿宋" w:hAnsi="仿宋" w:eastAsia="仿宋" w:cs="仿宋"/>
                <w:b/>
                <w:color w:val="000000"/>
                <w:kern w:val="0"/>
                <w:sz w:val="18"/>
                <w:szCs w:val="18"/>
              </w:rPr>
              <w:t>33786105.18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18"/>
                <w:szCs w:val="18"/>
              </w:rPr>
            </w:pPr>
          </w:p>
        </w:tc>
      </w:tr>
    </w:tbl>
    <w:p>
      <w:pPr>
        <w:keepNext w:val="0"/>
        <w:keepLines w:val="0"/>
        <w:pageBreakBefore w:val="0"/>
        <w:kinsoku/>
        <w:wordWrap/>
        <w:overflowPunct/>
        <w:topLinePunct w:val="0"/>
        <w:autoSpaceDE/>
        <w:autoSpaceDN/>
        <w:bidi w:val="0"/>
        <w:spacing w:line="360" w:lineRule="auto"/>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从表6可见，在同等工程量的条件下，主体合同与分包合同的总价差异为33786105元。</w:t>
      </w:r>
    </w:p>
    <w:p>
      <w:pPr>
        <w:keepNext w:val="0"/>
        <w:keepLines w:val="0"/>
        <w:pageBreakBefore w:val="0"/>
        <w:kinsoku/>
        <w:wordWrap/>
        <w:overflowPunct/>
        <w:topLinePunct w:val="0"/>
        <w:autoSpaceDE/>
        <w:autoSpaceDN/>
        <w:bidi w:val="0"/>
        <w:spacing w:line="360" w:lineRule="auto"/>
        <w:ind w:left="0" w:leftChars="0" w:firstLine="480"/>
        <w:jc w:val="center"/>
        <w:rPr>
          <w:rFonts w:hint="eastAsia" w:ascii="仿宋" w:hAnsi="仿宋" w:eastAsia="仿宋" w:cs="仿宋"/>
          <w:color w:val="000000"/>
          <w:kern w:val="0"/>
          <w:szCs w:val="21"/>
        </w:rPr>
      </w:pPr>
      <w:r>
        <w:rPr>
          <w:rFonts w:hint="eastAsia" w:ascii="仿宋" w:hAnsi="仿宋" w:eastAsia="仿宋" w:cs="仿宋"/>
          <w:szCs w:val="21"/>
        </w:rPr>
        <w:t>表7  6500T总量及某局合同单价-</w:t>
      </w:r>
      <w:r>
        <w:rPr>
          <w:rFonts w:hint="eastAsia" w:ascii="仿宋" w:hAnsi="仿宋" w:eastAsia="仿宋" w:cs="仿宋"/>
          <w:color w:val="000000"/>
          <w:kern w:val="0"/>
          <w:szCs w:val="21"/>
        </w:rPr>
        <w:t>钢结构合同价格比较</w:t>
      </w:r>
    </w:p>
    <w:p>
      <w:pPr>
        <w:keepNext w:val="0"/>
        <w:keepLines w:val="0"/>
        <w:pageBreakBefore w:val="0"/>
        <w:kinsoku/>
        <w:wordWrap/>
        <w:overflowPunct/>
        <w:topLinePunct w:val="0"/>
        <w:autoSpaceDE/>
        <w:autoSpaceDN/>
        <w:bidi w:val="0"/>
        <w:spacing w:line="360" w:lineRule="auto"/>
        <w:ind w:left="0" w:leftChars="0" w:firstLine="480"/>
        <w:jc w:val="right"/>
        <w:rPr>
          <w:rFonts w:hint="eastAsia" w:ascii="仿宋" w:hAnsi="仿宋" w:eastAsia="仿宋" w:cs="仿宋"/>
          <w:sz w:val="18"/>
          <w:szCs w:val="18"/>
        </w:rPr>
      </w:pPr>
      <w:r>
        <w:rPr>
          <w:rFonts w:hint="eastAsia" w:ascii="仿宋" w:hAnsi="仿宋" w:eastAsia="仿宋" w:cs="仿宋"/>
          <w:color w:val="000000"/>
          <w:kern w:val="0"/>
          <w:sz w:val="18"/>
          <w:szCs w:val="18"/>
        </w:rPr>
        <w:t>金额单位：人民币元</w:t>
      </w:r>
    </w:p>
    <w:tbl>
      <w:tblPr>
        <w:tblStyle w:val="9"/>
        <w:tblW w:w="8786" w:type="dxa"/>
        <w:jc w:val="center"/>
        <w:tblInd w:w="0" w:type="dxa"/>
        <w:tblLayout w:type="fixed"/>
        <w:tblCellMar>
          <w:top w:w="15" w:type="dxa"/>
          <w:left w:w="15" w:type="dxa"/>
          <w:bottom w:w="15" w:type="dxa"/>
          <w:right w:w="15" w:type="dxa"/>
        </w:tblCellMar>
      </w:tblPr>
      <w:tblGrid>
        <w:gridCol w:w="212"/>
        <w:gridCol w:w="1110"/>
        <w:gridCol w:w="751"/>
        <w:gridCol w:w="212"/>
        <w:gridCol w:w="391"/>
        <w:gridCol w:w="661"/>
        <w:gridCol w:w="1027"/>
        <w:gridCol w:w="481"/>
        <w:gridCol w:w="212"/>
        <w:gridCol w:w="751"/>
        <w:gridCol w:w="1027"/>
        <w:gridCol w:w="841"/>
        <w:gridCol w:w="1110"/>
      </w:tblGrid>
      <w:tr>
        <w:tblPrEx>
          <w:tblLayout w:type="fixed"/>
          <w:tblCellMar>
            <w:top w:w="15" w:type="dxa"/>
            <w:left w:w="15" w:type="dxa"/>
            <w:bottom w:w="15" w:type="dxa"/>
            <w:right w:w="15" w:type="dxa"/>
          </w:tblCellMar>
        </w:tblPrEx>
        <w:trPr>
          <w:trHeight w:val="660" w:hRule="atLeast"/>
          <w:jc w:val="center"/>
        </w:trPr>
        <w:tc>
          <w:tcPr>
            <w:tcW w:w="21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序号</w:t>
            </w: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项目编码</w:t>
            </w:r>
          </w:p>
        </w:tc>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229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签约合同价格</w:t>
            </w:r>
          </w:p>
        </w:tc>
        <w:tc>
          <w:tcPr>
            <w:tcW w:w="442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某局合同单价</w:t>
            </w:r>
          </w:p>
        </w:tc>
      </w:tr>
      <w:tr>
        <w:tblPrEx>
          <w:tblLayout w:type="fixed"/>
          <w:tblCellMar>
            <w:top w:w="15" w:type="dxa"/>
            <w:left w:w="15" w:type="dxa"/>
            <w:bottom w:w="15" w:type="dxa"/>
            <w:right w:w="15" w:type="dxa"/>
          </w:tblCellMar>
        </w:tblPrEx>
        <w:trPr>
          <w:trHeight w:val="1080" w:hRule="atLeast"/>
          <w:jc w:val="center"/>
        </w:trPr>
        <w:tc>
          <w:tcPr>
            <w:tcW w:w="21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计量单位</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综合单价①</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综合合价②</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单位</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综合单价⑥</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综合合价⑦</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单价差异（⑥-①）</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合价差异（⑦-②）</w:t>
            </w: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1.1.1.10 主厂房钢结构及钢筋</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FT0111H13001</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钢结构柱</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1783</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7934.31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14148615.69 </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1783</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10997.31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19610615.95</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3063.00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4116671.893</w:t>
            </w: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FT0111H14001</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钢结构梁</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2075</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7923.63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16442439.22 </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2075</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11648.36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24171689.77</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3724.73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5825482.776</w:t>
            </w: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FT0111H16001</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钢结构支撑、桁架</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2642</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7976.77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21071904.52 </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2642</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11335.02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29943247.91</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3358.25 </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6686270.267</w:t>
            </w: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FT0111H31001</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钢结构防火</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t</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6500</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1522.50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9896281.92 </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25805</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61.41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1584668.61 </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-4002361.83</w:t>
            </w: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25805</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75.53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1949179.38 </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25805</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91.46 </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2360072.09 </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636" w:hRule="atLeast"/>
          <w:jc w:val="center"/>
        </w:trPr>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FF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合计</w:t>
            </w: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46398289.91</w:t>
            </w:r>
          </w:p>
        </w:tc>
        <w:tc>
          <w:tcPr>
            <w:tcW w:w="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79619473.72</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b/>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ind w:left="0" w:leftChars="0"/>
              <w:jc w:val="left"/>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18060232.38</w:t>
            </w:r>
          </w:p>
        </w:tc>
      </w:tr>
    </w:tbl>
    <w:p>
      <w:pPr>
        <w:keepNext w:val="0"/>
        <w:keepLines w:val="0"/>
        <w:pageBreakBefore w:val="0"/>
        <w:kinsoku/>
        <w:wordWrap/>
        <w:overflowPunct/>
        <w:topLinePunct w:val="0"/>
        <w:autoSpaceDE/>
        <w:autoSpaceDN/>
        <w:bidi w:val="0"/>
        <w:spacing w:line="360" w:lineRule="auto"/>
        <w:ind w:left="0" w:leftChars="0" w:firstLine="480"/>
        <w:rPr>
          <w:rFonts w:hint="eastAsia" w:ascii="仿宋" w:hAnsi="仿宋" w:eastAsia="仿宋" w:cs="仿宋"/>
          <w:sz w:val="24"/>
          <w:szCs w:val="24"/>
        </w:rPr>
      </w:pPr>
      <w:r>
        <w:rPr>
          <w:rFonts w:hint="eastAsia" w:ascii="仿宋" w:hAnsi="仿宋" w:eastAsia="仿宋" w:cs="仿宋"/>
          <w:sz w:val="24"/>
          <w:szCs w:val="24"/>
        </w:rPr>
        <w:t>从表7可见，在同等工程量的条件下，主体合同与某局合同的总价差异为18060232.38元。表7未考虑某局投标时基准期2018年4月与实际采购期2018年9月之间的材料价差，该部分材料价差968401.83元，则考虑价差后的合价差异为19028634.21元。以上参某局合同单价的钢结构材质均是按Q345B考虑的，实际施工时Q235材质及Q420B材质均应相应调整材质差价。</w:t>
      </w:r>
    </w:p>
    <w:p>
      <w:pPr>
        <w:pStyle w:val="3"/>
        <w:keepNext w:val="0"/>
        <w:keepLines w:val="0"/>
        <w:pageBreakBefore w:val="0"/>
        <w:kinsoku/>
        <w:wordWrap/>
        <w:overflowPunct/>
        <w:topLinePunct w:val="0"/>
        <w:autoSpaceDE/>
        <w:autoSpaceDN/>
        <w:bidi w:val="0"/>
        <w:spacing w:line="360" w:lineRule="auto"/>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四、调研结论</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某公司合同中钢结构的单价与当前深圳市场价格偏差较大，而某局合同中钢结构的单价是相对合理的，</w:t>
      </w:r>
      <w:r>
        <w:rPr>
          <w:rFonts w:hint="eastAsia" w:ascii="仿宋" w:hAnsi="仿宋" w:eastAsia="仿宋" w:cs="仿宋"/>
          <w:sz w:val="24"/>
          <w:szCs w:val="24"/>
          <w:lang w:val="en-US" w:eastAsia="zh-CN"/>
        </w:rPr>
        <w:t>建议按以下价格考虑。</w:t>
      </w:r>
      <w:r>
        <w:rPr>
          <w:rFonts w:hint="eastAsia" w:ascii="仿宋" w:hAnsi="仿宋" w:eastAsia="仿宋" w:cs="仿宋"/>
          <w:sz w:val="24"/>
          <w:szCs w:val="24"/>
        </w:rPr>
        <w:t>其具体价格详见表8。</w:t>
      </w:r>
    </w:p>
    <w:p>
      <w:pPr>
        <w:keepNext w:val="0"/>
        <w:keepLines w:val="0"/>
        <w:pageBreakBefore w:val="0"/>
        <w:kinsoku/>
        <w:wordWrap/>
        <w:overflowPunct/>
        <w:topLinePunct w:val="0"/>
        <w:autoSpaceDE/>
        <w:autoSpaceDN/>
        <w:bidi w:val="0"/>
        <w:spacing w:line="360" w:lineRule="auto"/>
        <w:ind w:left="0" w:leftChars="0" w:firstLine="630" w:firstLineChars="300"/>
        <w:jc w:val="center"/>
        <w:rPr>
          <w:rFonts w:hint="eastAsia" w:ascii="仿宋" w:hAnsi="仿宋" w:eastAsia="仿宋" w:cs="仿宋"/>
          <w:szCs w:val="21"/>
        </w:rPr>
      </w:pPr>
      <w:r>
        <w:rPr>
          <w:rFonts w:hint="eastAsia" w:ascii="仿宋" w:hAnsi="仿宋" w:eastAsia="仿宋" w:cs="仿宋"/>
          <w:szCs w:val="21"/>
        </w:rPr>
        <w:t>表8  全费用综合单价</w:t>
      </w:r>
    </w:p>
    <w:p>
      <w:pPr>
        <w:keepNext w:val="0"/>
        <w:keepLines w:val="0"/>
        <w:pageBreakBefore w:val="0"/>
        <w:kinsoku/>
        <w:wordWrap/>
        <w:overflowPunct/>
        <w:topLinePunct w:val="0"/>
        <w:autoSpaceDE/>
        <w:autoSpaceDN/>
        <w:bidi w:val="0"/>
        <w:spacing w:line="360" w:lineRule="auto"/>
        <w:ind w:left="0" w:leftChars="0" w:firstLine="540" w:firstLineChars="300"/>
        <w:jc w:val="right"/>
        <w:rPr>
          <w:rFonts w:hint="eastAsia" w:ascii="仿宋" w:hAnsi="仿宋" w:eastAsia="仿宋" w:cs="仿宋"/>
          <w:sz w:val="18"/>
          <w:szCs w:val="18"/>
        </w:rPr>
      </w:pPr>
      <w:r>
        <w:rPr>
          <w:rFonts w:hint="eastAsia" w:ascii="仿宋" w:hAnsi="仿宋" w:eastAsia="仿宋" w:cs="仿宋"/>
          <w:sz w:val="18"/>
          <w:szCs w:val="18"/>
        </w:rPr>
        <w:t>（金额单位：人民币元）</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956"/>
        <w:gridCol w:w="1048"/>
        <w:gridCol w:w="169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序号</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项目名称</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计量单位</w:t>
            </w:r>
          </w:p>
        </w:tc>
        <w:tc>
          <w:tcPr>
            <w:tcW w:w="1699"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工程量</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全费用综合单价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color w:val="000000"/>
                <w:kern w:val="0"/>
                <w:sz w:val="18"/>
                <w:szCs w:val="18"/>
              </w:rPr>
              <w:t>钢结构柱</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t</w:t>
            </w:r>
          </w:p>
        </w:tc>
        <w:tc>
          <w:tcPr>
            <w:tcW w:w="1699"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color w:val="000000"/>
                <w:kern w:val="0"/>
                <w:sz w:val="18"/>
                <w:szCs w:val="18"/>
              </w:rPr>
              <w:t>1344</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color w:val="000000"/>
                <w:kern w:val="0"/>
                <w:sz w:val="18"/>
                <w:szCs w:val="18"/>
              </w:rPr>
              <w:t>10997.31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color w:val="000000"/>
                <w:kern w:val="0"/>
                <w:sz w:val="18"/>
                <w:szCs w:val="18"/>
              </w:rPr>
              <w:t>钢结构梁</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t</w:t>
            </w:r>
          </w:p>
        </w:tc>
        <w:tc>
          <w:tcPr>
            <w:tcW w:w="1699"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color w:val="000000"/>
                <w:kern w:val="0"/>
                <w:sz w:val="18"/>
                <w:szCs w:val="18"/>
              </w:rPr>
              <w:t>1564</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color w:val="000000"/>
                <w:kern w:val="0"/>
                <w:sz w:val="18"/>
                <w:szCs w:val="18"/>
              </w:rPr>
              <w:t>11648.36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3</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color w:val="000000"/>
                <w:kern w:val="0"/>
                <w:sz w:val="18"/>
                <w:szCs w:val="18"/>
              </w:rPr>
              <w:t>钢结构支撑、桁架</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t</w:t>
            </w:r>
          </w:p>
        </w:tc>
        <w:tc>
          <w:tcPr>
            <w:tcW w:w="1699"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color w:val="000000"/>
                <w:kern w:val="0"/>
                <w:sz w:val="18"/>
                <w:szCs w:val="18"/>
              </w:rPr>
              <w:t>1991</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color w:val="000000"/>
                <w:kern w:val="0"/>
                <w:sz w:val="18"/>
                <w:szCs w:val="18"/>
              </w:rPr>
              <w:t>11335.02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4</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color w:val="000000"/>
                <w:kern w:val="0"/>
                <w:sz w:val="18"/>
                <w:szCs w:val="18"/>
              </w:rPr>
              <w:t>钢结构防火（防火等级1h）</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w:t>
            </w:r>
          </w:p>
        </w:tc>
        <w:tc>
          <w:tcPr>
            <w:tcW w:w="1699"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color w:val="000000"/>
                <w:kern w:val="0"/>
                <w:sz w:val="18"/>
                <w:szCs w:val="18"/>
              </w:rPr>
              <w:t>19460</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color w:val="000000"/>
                <w:kern w:val="0"/>
                <w:sz w:val="18"/>
                <w:szCs w:val="18"/>
              </w:rPr>
              <w:t>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5</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color w:val="000000"/>
                <w:kern w:val="0"/>
                <w:sz w:val="18"/>
                <w:szCs w:val="18"/>
              </w:rPr>
              <w:t>钢结构防火（防火等级1.5h）</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w:t>
            </w:r>
          </w:p>
        </w:tc>
        <w:tc>
          <w:tcPr>
            <w:tcW w:w="1699"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color w:val="000000"/>
                <w:kern w:val="0"/>
                <w:sz w:val="18"/>
                <w:szCs w:val="18"/>
              </w:rPr>
              <w:t>19460</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color w:val="000000"/>
                <w:kern w:val="0"/>
                <w:sz w:val="18"/>
                <w:szCs w:val="18"/>
              </w:rPr>
              <w:t>75.53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6</w:t>
            </w:r>
          </w:p>
        </w:tc>
        <w:tc>
          <w:tcPr>
            <w:tcW w:w="2956" w:type="dxa"/>
            <w:noWrap/>
            <w:vAlign w:val="center"/>
          </w:tcPr>
          <w:p>
            <w:pPr>
              <w:keepNext w:val="0"/>
              <w:keepLines w:val="0"/>
              <w:pageBreakBefore w:val="0"/>
              <w:kinsoku/>
              <w:wordWrap/>
              <w:overflowPunct/>
              <w:topLinePunct w:val="0"/>
              <w:autoSpaceDE/>
              <w:autoSpaceDN/>
              <w:bidi w:val="0"/>
              <w:spacing w:line="360" w:lineRule="auto"/>
              <w:ind w:left="0" w:leftChars="0"/>
              <w:rPr>
                <w:rFonts w:hint="eastAsia" w:ascii="仿宋" w:hAnsi="仿宋" w:eastAsia="仿宋" w:cs="仿宋"/>
                <w:sz w:val="18"/>
                <w:szCs w:val="18"/>
              </w:rPr>
            </w:pPr>
            <w:r>
              <w:rPr>
                <w:rFonts w:hint="eastAsia" w:ascii="仿宋" w:hAnsi="仿宋" w:eastAsia="仿宋" w:cs="仿宋"/>
                <w:color w:val="000000"/>
                <w:kern w:val="0"/>
                <w:sz w:val="18"/>
                <w:szCs w:val="18"/>
              </w:rPr>
              <w:t>钢结构防火（防火等级2.5h）</w:t>
            </w:r>
          </w:p>
        </w:tc>
        <w:tc>
          <w:tcPr>
            <w:tcW w:w="1048"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w:t>
            </w:r>
          </w:p>
        </w:tc>
        <w:tc>
          <w:tcPr>
            <w:tcW w:w="1699" w:type="dxa"/>
            <w:noWrap/>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color w:val="000000"/>
                <w:kern w:val="0"/>
                <w:sz w:val="18"/>
                <w:szCs w:val="18"/>
              </w:rPr>
              <w:t>19460</w:t>
            </w:r>
          </w:p>
        </w:tc>
        <w:tc>
          <w:tcPr>
            <w:tcW w:w="1705" w:type="dxa"/>
            <w:noWrap/>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sz w:val="18"/>
                <w:szCs w:val="18"/>
              </w:rPr>
            </w:pPr>
            <w:r>
              <w:rPr>
                <w:rFonts w:hint="eastAsia" w:ascii="仿宋" w:hAnsi="仿宋" w:eastAsia="仿宋" w:cs="仿宋"/>
                <w:color w:val="000000"/>
                <w:kern w:val="0"/>
                <w:sz w:val="18"/>
                <w:szCs w:val="18"/>
              </w:rPr>
              <w:t>91.46</w:t>
            </w:r>
          </w:p>
        </w:tc>
      </w:tr>
    </w:tbl>
    <w:p>
      <w:pPr>
        <w:keepNext w:val="0"/>
        <w:keepLines w:val="0"/>
        <w:pageBreakBefore w:val="0"/>
        <w:kinsoku/>
        <w:wordWrap/>
        <w:overflowPunct/>
        <w:topLinePunct w:val="0"/>
        <w:autoSpaceDE/>
        <w:autoSpaceDN/>
        <w:bidi w:val="0"/>
        <w:spacing w:line="360" w:lineRule="auto"/>
        <w:ind w:left="0" w:leftChars="0" w:firstLine="5880" w:firstLineChars="2450"/>
        <w:jc w:val="right"/>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360" w:lineRule="auto"/>
        <w:ind w:left="0" w:leftChars="0" w:firstLine="4080" w:firstLineChars="1700"/>
        <w:jc w:val="right"/>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360" w:lineRule="auto"/>
        <w:ind w:left="0" w:leftChars="0" w:firstLine="480"/>
        <w:rPr>
          <w:rFonts w:hint="eastAsia" w:ascii="仿宋" w:hAnsi="仿宋" w:eastAsia="仿宋" w:cs="仿宋"/>
          <w:sz w:val="24"/>
          <w:szCs w:val="24"/>
        </w:rPr>
      </w:pPr>
      <w:r>
        <w:rPr>
          <w:rFonts w:hint="eastAsia" w:ascii="仿宋" w:hAnsi="仿宋" w:eastAsia="仿宋" w:cs="仿宋"/>
          <w:b/>
          <w:sz w:val="24"/>
          <w:szCs w:val="24"/>
        </w:rPr>
        <w:t>例2：关于某垃圾电厂项目余热锅炉焊口数量大幅增加导致施工单位成本增加的调研报告</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自2017年10月</w:t>
      </w:r>
      <w:r>
        <w:rPr>
          <w:rFonts w:hint="eastAsia" w:ascii="仿宋" w:hAnsi="仿宋" w:eastAsia="仿宋" w:cs="仿宋"/>
          <w:sz w:val="24"/>
          <w:szCs w:val="24"/>
          <w:lang w:val="en-US" w:eastAsia="zh-CN"/>
        </w:rPr>
        <w:t>该</w:t>
      </w:r>
      <w:r>
        <w:rPr>
          <w:rFonts w:hint="eastAsia" w:ascii="仿宋" w:hAnsi="仿宋" w:eastAsia="仿宋" w:cs="仿宋"/>
          <w:sz w:val="24"/>
          <w:szCs w:val="24"/>
        </w:rPr>
        <w:t>主体工程锅炉开始安装以来，</w:t>
      </w:r>
      <w:r>
        <w:rPr>
          <w:rFonts w:hint="eastAsia" w:ascii="仿宋" w:hAnsi="仿宋" w:eastAsia="仿宋" w:cs="仿宋"/>
          <w:sz w:val="24"/>
          <w:szCs w:val="24"/>
          <w:lang w:val="en-US" w:eastAsia="zh-CN"/>
        </w:rPr>
        <w:t>该</w:t>
      </w:r>
      <w:r>
        <w:rPr>
          <w:rFonts w:hint="eastAsia" w:ascii="仿宋" w:hAnsi="仿宋" w:eastAsia="仿宋" w:cs="仿宋"/>
          <w:sz w:val="24"/>
          <w:szCs w:val="24"/>
        </w:rPr>
        <w:t>主体施工单位某公司多次在项目协调会上提出余热锅炉焊口数量大幅增加，导致人工、辅材、焊材、起重机械、水平运输机械、金属检测等现场组合焊接资源投入大幅增加，延长了余热锅炉工期，造成成本大幅增加，产生了巨额亏损，无力承担，要求建设单位给予补偿。</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受</w:t>
      </w:r>
      <w:r>
        <w:rPr>
          <w:rFonts w:hint="eastAsia" w:ascii="仿宋" w:hAnsi="仿宋" w:eastAsia="仿宋" w:cs="仿宋"/>
          <w:sz w:val="24"/>
          <w:szCs w:val="24"/>
          <w:lang w:val="en-US" w:eastAsia="zh-CN"/>
        </w:rPr>
        <w:t>业主</w:t>
      </w:r>
      <w:r>
        <w:rPr>
          <w:rFonts w:hint="eastAsia" w:ascii="仿宋" w:hAnsi="仿宋" w:eastAsia="仿宋" w:cs="仿宋"/>
          <w:sz w:val="24"/>
          <w:szCs w:val="24"/>
        </w:rPr>
        <w:t>委托,我们对</w:t>
      </w:r>
      <w:r>
        <w:rPr>
          <w:rFonts w:hint="eastAsia" w:ascii="仿宋" w:hAnsi="仿宋" w:eastAsia="仿宋" w:cs="仿宋"/>
          <w:sz w:val="24"/>
          <w:szCs w:val="24"/>
          <w:lang w:val="en-US" w:eastAsia="zh-CN"/>
        </w:rPr>
        <w:t>该</w:t>
      </w:r>
      <w:r>
        <w:rPr>
          <w:rFonts w:hint="eastAsia" w:ascii="仿宋" w:hAnsi="仿宋" w:eastAsia="仿宋" w:cs="仿宋"/>
          <w:sz w:val="24"/>
          <w:szCs w:val="24"/>
        </w:rPr>
        <w:t>项目主体标段建筑安装工程中余热锅炉焊口数量大幅增加的情况分析，结合实际同类型锅炉焊口数量及市场价格水平进行对比调研，现将调研情况报告如下：</w:t>
      </w:r>
    </w:p>
    <w:p>
      <w:pPr>
        <w:pStyle w:val="3"/>
        <w:keepNext w:val="0"/>
        <w:keepLines w:val="0"/>
        <w:pageBreakBefore w:val="0"/>
        <w:kinsoku/>
        <w:wordWrap/>
        <w:overflowPunct/>
        <w:topLinePunct w:val="0"/>
        <w:autoSpaceDE/>
        <w:autoSpaceDN/>
        <w:bidi w:val="0"/>
        <w:spacing w:line="360" w:lineRule="auto"/>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rPr>
        <w:t>一、余热锅炉相关情况概述</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略</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2" w:firstLineChars="200"/>
        <w:rPr>
          <w:rFonts w:hint="eastAsia" w:ascii="仿宋" w:hAnsi="仿宋" w:eastAsia="仿宋" w:cs="仿宋"/>
          <w:sz w:val="24"/>
          <w:szCs w:val="24"/>
        </w:rPr>
      </w:pPr>
      <w:r>
        <w:rPr>
          <w:rFonts w:hint="eastAsia" w:ascii="仿宋" w:hAnsi="仿宋" w:eastAsia="仿宋" w:cs="仿宋"/>
          <w:b/>
          <w:bCs/>
          <w:sz w:val="24"/>
          <w:szCs w:val="24"/>
        </w:rPr>
        <w:t>二、各不同项目项目余热锅炉焊口数量对比</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1.五个项目锅炉设计制造单位和焊口情况对比</w:t>
      </w:r>
    </w:p>
    <w:p>
      <w:pPr>
        <w:keepNext w:val="0"/>
        <w:keepLines w:val="0"/>
        <w:pageBreakBefore w:val="0"/>
        <w:kinsoku/>
        <w:wordWrap/>
        <w:overflowPunct/>
        <w:topLinePunct w:val="0"/>
        <w:autoSpaceDE/>
        <w:autoSpaceDN/>
        <w:bidi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（1）某二期750t/d垃圾焚烧机械炉排炉项目，采用比利时西格斯的技术和初步设计，由某公司设计制造，技术参数为71t/h，每台余热锅炉焊口数量6491道（不含锅炉小口径管道）。</w:t>
      </w:r>
    </w:p>
    <w:p>
      <w:pPr>
        <w:keepNext w:val="0"/>
        <w:keepLines w:val="0"/>
        <w:pageBreakBefore w:val="0"/>
        <w:kinsoku/>
        <w:wordWrap/>
        <w:overflowPunct/>
        <w:topLinePunct w:val="0"/>
        <w:autoSpaceDE/>
        <w:autoSpaceDN/>
        <w:bidi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（2）某二期750t/d垃圾焚烧机械炉排炉项目，采用比利时西格斯的技术和初步设计，由某公司设计制造，技术参数为103.22t/h，每台余热锅炉焊口数量约11500道（不含锅炉小口径管道）。</w:t>
      </w:r>
    </w:p>
    <w:p>
      <w:pPr>
        <w:keepNext w:val="0"/>
        <w:keepLines w:val="0"/>
        <w:pageBreakBefore w:val="0"/>
        <w:kinsoku/>
        <w:wordWrap/>
        <w:overflowPunct/>
        <w:topLinePunct w:val="0"/>
        <w:autoSpaceDE/>
        <w:autoSpaceDN/>
        <w:bidi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（3）东部850t/d机械炉排垃圾焚烧炉项目，采用丹麦技术和初步设计，由某公司设计制造，技术参数为105.67t/h，每台余热锅炉焊口数量约为6753道（不含锅炉小口径管道）。</w:t>
      </w:r>
    </w:p>
    <w:p>
      <w:pPr>
        <w:keepNext w:val="0"/>
        <w:keepLines w:val="0"/>
        <w:pageBreakBefore w:val="0"/>
        <w:kinsoku/>
        <w:wordWrap/>
        <w:overflowPunct/>
        <w:topLinePunct w:val="0"/>
        <w:autoSpaceDE/>
        <w:autoSpaceDN/>
        <w:bidi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（4）某市生活垃圾望城850t/d机械炉排垃圾焚烧炉项目，采用</w:t>
      </w:r>
      <w:r>
        <w:rPr>
          <w:rFonts w:hint="eastAsia" w:ascii="仿宋" w:hAnsi="仿宋" w:eastAsia="仿宋" w:cs="仿宋"/>
          <w:sz w:val="24"/>
          <w:szCs w:val="24"/>
          <w:lang w:val="zh-CN"/>
        </w:rPr>
        <w:t>日本日立造船（Hitachi Zosen）往复式机械炉排炉技术和初步设计，由某公司</w:t>
      </w:r>
      <w:r>
        <w:rPr>
          <w:rFonts w:hint="eastAsia" w:ascii="仿宋" w:hAnsi="仿宋" w:eastAsia="仿宋" w:cs="仿宋"/>
          <w:sz w:val="24"/>
          <w:szCs w:val="24"/>
        </w:rPr>
        <w:t>设计制造</w:t>
      </w:r>
      <w:r>
        <w:rPr>
          <w:rFonts w:hint="eastAsia" w:ascii="仿宋" w:hAnsi="仿宋" w:eastAsia="仿宋" w:cs="仿宋"/>
          <w:sz w:val="24"/>
          <w:szCs w:val="24"/>
          <w:lang w:val="zh-CN"/>
        </w:rPr>
        <w:t>，焊口数量为</w:t>
      </w:r>
      <w:r>
        <w:rPr>
          <w:rFonts w:hint="eastAsia" w:ascii="仿宋" w:hAnsi="仿宋" w:eastAsia="仿宋" w:cs="仿宋"/>
          <w:sz w:val="24"/>
          <w:szCs w:val="24"/>
        </w:rPr>
        <w:t>6410道。</w:t>
      </w:r>
    </w:p>
    <w:p>
      <w:pPr>
        <w:keepNext w:val="0"/>
        <w:keepLines w:val="0"/>
        <w:pageBreakBefore w:val="0"/>
        <w:kinsoku/>
        <w:wordWrap/>
        <w:overflowPunct/>
        <w:topLinePunct w:val="0"/>
        <w:autoSpaceDE/>
        <w:autoSpaceDN/>
        <w:bidi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该</w:t>
      </w:r>
      <w:r>
        <w:rPr>
          <w:rFonts w:hint="eastAsia" w:ascii="仿宋" w:hAnsi="仿宋" w:eastAsia="仿宋" w:cs="仿宋"/>
          <w:sz w:val="24"/>
          <w:szCs w:val="24"/>
        </w:rPr>
        <w:t>850t/d机械炉排垃圾焚烧炉项目，采用比利时西格斯的技术和初步设计，由某公司设计制造，技术参数为109t/h，按目前已安装完的数据统计，每台余热锅炉焊口数量为11524道（不含锅炉小口径管道）。</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该</w:t>
      </w:r>
      <w:r>
        <w:rPr>
          <w:rFonts w:hint="eastAsia" w:ascii="仿宋" w:hAnsi="仿宋" w:eastAsia="仿宋" w:cs="仿宋"/>
          <w:sz w:val="24"/>
          <w:szCs w:val="24"/>
        </w:rPr>
        <w:t>余热锅炉焊口数量对比表如下：</w:t>
      </w:r>
    </w:p>
    <w:p>
      <w:pPr>
        <w:keepNext w:val="0"/>
        <w:keepLines w:val="0"/>
        <w:pageBreakBefore w:val="0"/>
        <w:kinsoku/>
        <w:wordWrap/>
        <w:overflowPunct/>
        <w:topLinePunct w:val="0"/>
        <w:autoSpaceDE/>
        <w:autoSpaceDN/>
        <w:bidi w:val="0"/>
        <w:spacing w:line="360" w:lineRule="auto"/>
        <w:ind w:left="0" w:leftChars="0" w:firstLine="420" w:firstLineChars="200"/>
        <w:jc w:val="center"/>
        <w:rPr>
          <w:rFonts w:hint="eastAsia" w:ascii="仿宋" w:hAnsi="仿宋" w:eastAsia="仿宋" w:cs="仿宋"/>
          <w:szCs w:val="21"/>
        </w:rPr>
      </w:pPr>
      <w:r>
        <w:rPr>
          <w:rFonts w:hint="eastAsia" w:ascii="仿宋" w:hAnsi="仿宋" w:eastAsia="仿宋" w:cs="仿宋"/>
          <w:szCs w:val="21"/>
        </w:rPr>
        <w:t>表</w:t>
      </w:r>
      <w:r>
        <w:rPr>
          <w:rFonts w:hint="eastAsia" w:ascii="仿宋" w:hAnsi="仿宋" w:eastAsia="仿宋" w:cs="仿宋"/>
          <w:szCs w:val="21"/>
          <w:lang w:val="en-US" w:eastAsia="zh-CN"/>
        </w:rPr>
        <w:t>9</w:t>
      </w:r>
      <w:r>
        <w:rPr>
          <w:rFonts w:hint="eastAsia" w:ascii="仿宋" w:hAnsi="仿宋" w:eastAsia="仿宋" w:cs="仿宋"/>
          <w:szCs w:val="21"/>
        </w:rPr>
        <w:t xml:space="preserve">  不同技术路线同规模余热锅炉焊口数对比</w:t>
      </w:r>
    </w:p>
    <w:tbl>
      <w:tblPr>
        <w:tblStyle w:val="9"/>
        <w:tblW w:w="9156" w:type="dxa"/>
        <w:tblInd w:w="0" w:type="dxa"/>
        <w:tblLayout w:type="fixed"/>
        <w:tblCellMar>
          <w:top w:w="15" w:type="dxa"/>
          <w:left w:w="15" w:type="dxa"/>
          <w:bottom w:w="15" w:type="dxa"/>
          <w:right w:w="15" w:type="dxa"/>
        </w:tblCellMar>
      </w:tblPr>
      <w:tblGrid>
        <w:gridCol w:w="884"/>
        <w:gridCol w:w="1335"/>
        <w:gridCol w:w="2603"/>
        <w:gridCol w:w="1328"/>
        <w:gridCol w:w="1772"/>
        <w:gridCol w:w="1234"/>
      </w:tblGrid>
      <w:tr>
        <w:tblPrEx>
          <w:tblLayout w:type="fixed"/>
          <w:tblCellMar>
            <w:top w:w="15" w:type="dxa"/>
            <w:left w:w="15" w:type="dxa"/>
            <w:bottom w:w="15" w:type="dxa"/>
            <w:right w:w="15" w:type="dxa"/>
          </w:tblCellMar>
        </w:tblPrEx>
        <w:trPr>
          <w:trHeight w:val="644"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项目名称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技术路线和主要参数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锅炉生产厂家</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焊口数量（不含锅炉小口径管道）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备注</w:t>
            </w:r>
          </w:p>
        </w:tc>
      </w:tr>
      <w:tr>
        <w:tblPrEx>
          <w:tblLayout w:type="fixed"/>
          <w:tblCellMar>
            <w:top w:w="15" w:type="dxa"/>
            <w:left w:w="15" w:type="dxa"/>
            <w:bottom w:w="15" w:type="dxa"/>
            <w:right w:w="15" w:type="dxa"/>
          </w:tblCellMar>
        </w:tblPrEx>
        <w:trPr>
          <w:trHeight w:val="54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东部项目</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丹麦技术，850t/d垃圾焚烧机械炉排炉</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锅炉厂1</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6753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70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某市生活垃圾望城850t/d项目</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日本日立造船技术，850t/d垃圾焚烧机械炉排炉</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锅炉厂2</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6410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调研数据</w:t>
            </w:r>
          </w:p>
        </w:tc>
      </w:tr>
      <w:tr>
        <w:tblPrEx>
          <w:tblLayout w:type="fixed"/>
          <w:tblCellMar>
            <w:top w:w="15" w:type="dxa"/>
            <w:left w:w="15" w:type="dxa"/>
            <w:bottom w:w="15" w:type="dxa"/>
            <w:right w:w="15" w:type="dxa"/>
          </w:tblCellMar>
        </w:tblPrEx>
        <w:trPr>
          <w:trHeight w:val="63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该</w:t>
            </w:r>
            <w:r>
              <w:rPr>
                <w:rFonts w:hint="eastAsia" w:ascii="仿宋" w:hAnsi="仿宋" w:eastAsia="仿宋" w:cs="仿宋"/>
                <w:color w:val="000000"/>
                <w:sz w:val="18"/>
                <w:szCs w:val="18"/>
              </w:rPr>
              <w:t>项目</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比利时西格斯，850t/d垃圾焚烧机械炉排炉</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锅炉厂3</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11524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bl>
    <w:p>
      <w:pPr>
        <w:keepNext w:val="0"/>
        <w:keepLines w:val="0"/>
        <w:pageBreakBefore w:val="0"/>
        <w:kinsoku/>
        <w:wordWrap/>
        <w:overflowPunct/>
        <w:topLinePunct w:val="0"/>
        <w:autoSpaceDE/>
        <w:autoSpaceDN/>
        <w:bidi w:val="0"/>
        <w:spacing w:line="360" w:lineRule="auto"/>
        <w:ind w:left="0" w:leftChars="0" w:firstLine="420" w:firstLineChars="200"/>
        <w:jc w:val="center"/>
        <w:rPr>
          <w:rFonts w:hint="eastAsia" w:ascii="仿宋" w:hAnsi="仿宋" w:eastAsia="仿宋" w:cs="仿宋"/>
          <w:szCs w:val="21"/>
        </w:rPr>
      </w:pPr>
      <w:r>
        <w:rPr>
          <w:rFonts w:hint="eastAsia" w:ascii="仿宋" w:hAnsi="仿宋" w:eastAsia="仿宋" w:cs="仿宋"/>
          <w:szCs w:val="21"/>
        </w:rPr>
        <w:t>表</w:t>
      </w:r>
      <w:r>
        <w:rPr>
          <w:rFonts w:hint="eastAsia" w:ascii="仿宋" w:hAnsi="仿宋" w:eastAsia="仿宋" w:cs="仿宋"/>
          <w:szCs w:val="21"/>
          <w:lang w:val="en-US" w:eastAsia="zh-CN"/>
        </w:rPr>
        <w:t>10</w:t>
      </w:r>
      <w:r>
        <w:rPr>
          <w:rFonts w:hint="eastAsia" w:ascii="仿宋" w:hAnsi="仿宋" w:eastAsia="仿宋" w:cs="仿宋"/>
          <w:szCs w:val="21"/>
        </w:rPr>
        <w:t xml:space="preserve">  同技术路线同规模余热锅炉焊口数对比</w:t>
      </w:r>
    </w:p>
    <w:tbl>
      <w:tblPr>
        <w:tblStyle w:val="9"/>
        <w:tblW w:w="9284" w:type="dxa"/>
        <w:tblInd w:w="0" w:type="dxa"/>
        <w:tblLayout w:type="fixed"/>
        <w:tblCellMar>
          <w:top w:w="15" w:type="dxa"/>
          <w:left w:w="15" w:type="dxa"/>
          <w:bottom w:w="15" w:type="dxa"/>
          <w:right w:w="15" w:type="dxa"/>
        </w:tblCellMar>
      </w:tblPr>
      <w:tblGrid>
        <w:gridCol w:w="884"/>
        <w:gridCol w:w="1388"/>
        <w:gridCol w:w="2534"/>
        <w:gridCol w:w="1400"/>
        <w:gridCol w:w="1716"/>
        <w:gridCol w:w="1362"/>
      </w:tblGrid>
      <w:tr>
        <w:tblPrEx>
          <w:tblLayout w:type="fixed"/>
          <w:tblCellMar>
            <w:top w:w="15" w:type="dxa"/>
            <w:left w:w="15" w:type="dxa"/>
            <w:bottom w:w="15" w:type="dxa"/>
            <w:right w:w="15"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序号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项目名称</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技术路线和主要参数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锅炉生产厂家</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焊口数量（不含锅炉小口径管道）</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备注</w:t>
            </w:r>
          </w:p>
        </w:tc>
      </w:tr>
      <w:tr>
        <w:tblPrEx>
          <w:tblLayout w:type="fixed"/>
          <w:tblCellMar>
            <w:top w:w="15" w:type="dxa"/>
            <w:left w:w="15" w:type="dxa"/>
            <w:bottom w:w="15" w:type="dxa"/>
            <w:right w:w="15" w:type="dxa"/>
          </w:tblCellMar>
        </w:tblPrEx>
        <w:trPr>
          <w:trHeight w:val="70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某二期项目</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比利时西格斯，750t/d垃圾焚烧机械炉排炉</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锅炉厂4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6491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r>
        <w:tblPrEx>
          <w:tblLayout w:type="fixed"/>
          <w:tblCellMar>
            <w:top w:w="15" w:type="dxa"/>
            <w:left w:w="15" w:type="dxa"/>
            <w:bottom w:w="15" w:type="dxa"/>
            <w:right w:w="15" w:type="dxa"/>
          </w:tblCellMar>
        </w:tblPrEx>
        <w:trPr>
          <w:trHeight w:val="70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某二期项目</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比利时西格斯，750t/d垃圾焚烧机械炉排炉</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锅炉厂5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left="0" w:leftChars="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11500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color w:val="000000"/>
                <w:sz w:val="18"/>
                <w:szCs w:val="18"/>
              </w:rPr>
            </w:pPr>
          </w:p>
        </w:tc>
      </w:tr>
    </w:tbl>
    <w:p>
      <w:pPr>
        <w:keepNext w:val="0"/>
        <w:keepLines w:val="0"/>
        <w:pageBreakBefore w:val="0"/>
        <w:kinsoku/>
        <w:wordWrap/>
        <w:overflowPunct/>
        <w:topLinePunct w:val="0"/>
        <w:autoSpaceDE/>
        <w:autoSpaceDN/>
        <w:bidi w:val="0"/>
        <w:spacing w:line="360" w:lineRule="auto"/>
        <w:ind w:left="0" w:leftChars="0" w:firstLine="482" w:firstLineChars="200"/>
        <w:rPr>
          <w:rFonts w:hint="eastAsia" w:ascii="仿宋" w:hAnsi="仿宋" w:eastAsia="仿宋" w:cs="仿宋"/>
          <w:sz w:val="24"/>
          <w:szCs w:val="24"/>
        </w:rPr>
      </w:pPr>
      <w:r>
        <w:rPr>
          <w:rFonts w:hint="eastAsia" w:ascii="仿宋" w:hAnsi="仿宋" w:eastAsia="仿宋" w:cs="仿宋"/>
          <w:b/>
          <w:bCs/>
          <w:sz w:val="24"/>
          <w:szCs w:val="24"/>
        </w:rPr>
        <w:t>对比情况说明</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从表</w:t>
      </w:r>
      <w:r>
        <w:rPr>
          <w:rFonts w:hint="eastAsia" w:ascii="仿宋" w:hAnsi="仿宋" w:eastAsia="仿宋" w:cs="仿宋"/>
          <w:sz w:val="24"/>
          <w:szCs w:val="24"/>
          <w:lang w:val="en-US" w:eastAsia="zh-CN"/>
        </w:rPr>
        <w:t>9</w:t>
      </w:r>
      <w:r>
        <w:rPr>
          <w:rFonts w:hint="eastAsia" w:ascii="仿宋" w:hAnsi="仿宋" w:eastAsia="仿宋" w:cs="仿宋"/>
          <w:sz w:val="24"/>
          <w:szCs w:val="24"/>
        </w:rPr>
        <w:t>可以发现：</w:t>
      </w:r>
      <w:r>
        <w:rPr>
          <w:rFonts w:hint="eastAsia" w:ascii="仿宋" w:hAnsi="仿宋" w:eastAsia="仿宋" w:cs="仿宋"/>
          <w:sz w:val="24"/>
          <w:szCs w:val="24"/>
          <w:lang w:val="en-US" w:eastAsia="zh-CN"/>
        </w:rPr>
        <w:t>该</w:t>
      </w:r>
      <w:r>
        <w:rPr>
          <w:rFonts w:hint="eastAsia" w:ascii="仿宋" w:hAnsi="仿宋" w:eastAsia="仿宋" w:cs="仿宋"/>
          <w:sz w:val="24"/>
          <w:szCs w:val="24"/>
        </w:rPr>
        <w:t>项目焊口实际数量远超出国内其他同类项目的锅炉焊口数量；</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从表</w:t>
      </w:r>
      <w:r>
        <w:rPr>
          <w:rFonts w:hint="eastAsia" w:ascii="仿宋" w:hAnsi="仿宋" w:eastAsia="仿宋" w:cs="仿宋"/>
          <w:sz w:val="24"/>
          <w:szCs w:val="24"/>
          <w:lang w:val="en-US" w:eastAsia="zh-CN"/>
        </w:rPr>
        <w:t>10</w:t>
      </w:r>
      <w:r>
        <w:rPr>
          <w:rFonts w:hint="eastAsia" w:ascii="仿宋" w:hAnsi="仿宋" w:eastAsia="仿宋" w:cs="仿宋"/>
          <w:sz w:val="24"/>
          <w:szCs w:val="24"/>
        </w:rPr>
        <w:t>可以发现：类似技术的锅炉因生产制造厂家不同，造成焊口数量有差异</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ind w:left="0" w:leftChars="0" w:firstLine="480" w:firstLineChars="20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spacing w:line="360" w:lineRule="auto"/>
        <w:rPr>
          <w:rFonts w:hint="default" w:ascii="仿宋" w:hAnsi="仿宋" w:eastAsia="仿宋" w:cs="仿宋"/>
          <w:sz w:val="24"/>
          <w:szCs w:val="24"/>
          <w:lang w:val="en-US" w:eastAsia="zh-CN"/>
        </w:rPr>
        <w:sectPr>
          <w:footerReference r:id="rId3" w:type="default"/>
          <w:pgSz w:w="11906" w:h="16838"/>
          <w:pgMar w:top="1418" w:right="1358" w:bottom="426" w:left="1588" w:header="851" w:footer="585" w:gutter="0"/>
          <w:pgNumType w:fmt="numberInDash"/>
          <w:cols w:space="720" w:num="1"/>
          <w:docGrid w:type="lines" w:linePitch="312" w:charSpace="0"/>
        </w:sectPr>
      </w:pPr>
    </w:p>
    <w:p>
      <w:pPr>
        <w:pStyle w:val="3"/>
        <w:keepNext w:val="0"/>
        <w:keepLines w:val="0"/>
        <w:pageBreakBefore w:val="0"/>
        <w:kinsoku/>
        <w:wordWrap/>
        <w:overflowPunct/>
        <w:topLinePunct w:val="0"/>
        <w:autoSpaceDE/>
        <w:autoSpaceDN/>
        <w:bidi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、从施工单位的分包合同进行分析，由于焊口数量大幅增加，导致成本费用增加</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1.从单台余热锅炉人工成本进行分析，分包合同中的人工成本费用比合同报价中人工费多了131.8978万元。</w:t>
      </w:r>
    </w:p>
    <w:p>
      <w:pPr>
        <w:keepNext w:val="0"/>
        <w:keepLines w:val="0"/>
        <w:pageBreakBefore w:val="0"/>
        <w:kinsoku/>
        <w:wordWrap/>
        <w:overflowPunct/>
        <w:topLinePunct w:val="0"/>
        <w:autoSpaceDE/>
        <w:autoSpaceDN/>
        <w:bidi w:val="0"/>
        <w:adjustRightInd w:val="0"/>
        <w:snapToGrid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（1）合同中单台余热锅炉的价格情况。合同报价中单台余热锅炉报价为507.0893万元，其中人工费为264.6142万元。</w:t>
      </w:r>
    </w:p>
    <w:p>
      <w:pPr>
        <w:keepNext w:val="0"/>
        <w:keepLines w:val="0"/>
        <w:pageBreakBefore w:val="0"/>
        <w:kinsoku/>
        <w:wordWrap/>
        <w:overflowPunct/>
        <w:topLinePunct w:val="0"/>
        <w:autoSpaceDE/>
        <w:autoSpaceDN/>
        <w:bidi w:val="0"/>
        <w:adjustRightInd w:val="0"/>
        <w:snapToGrid w:val="0"/>
        <w:spacing w:line="360" w:lineRule="auto"/>
        <w:ind w:left="0" w:leftChars="0"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（2）施工单位单台余热锅炉的分包成本价情况。根据某公司提供的分包合同，单台余热锅炉单价为446.512万元，扣除合同中分包合同中包含的焊条、气体等辅材50万元（暂估），单台余热锅炉人工成本为396.512万元</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2.焊口数量增加导致的其它施工成本的增加，增加费用146.4万元。</w:t>
      </w:r>
    </w:p>
    <w:p>
      <w:pPr>
        <w:keepNext w:val="0"/>
        <w:keepLines w:val="0"/>
        <w:pageBreakBefore w:val="0"/>
        <w:kinsoku/>
        <w:wordWrap/>
        <w:overflowPunct/>
        <w:topLinePunct w:val="0"/>
        <w:autoSpaceDE/>
        <w:autoSpaceDN/>
        <w:bidi w:val="0"/>
        <w:adjustRightInd w:val="0"/>
        <w:snapToGrid w:val="0"/>
        <w:spacing w:line="360" w:lineRule="auto"/>
        <w:ind w:left="0" w:leftChars="0" w:firstLine="360" w:firstLineChars="150"/>
        <w:rPr>
          <w:rFonts w:hint="eastAsia" w:ascii="仿宋" w:hAnsi="仿宋" w:eastAsia="仿宋" w:cs="仿宋"/>
          <w:sz w:val="24"/>
          <w:szCs w:val="24"/>
        </w:rPr>
      </w:pPr>
      <w:r>
        <w:rPr>
          <w:rFonts w:hint="eastAsia" w:ascii="仿宋" w:hAnsi="仿宋" w:eastAsia="仿宋" w:cs="仿宋"/>
          <w:sz w:val="24"/>
          <w:szCs w:val="24"/>
        </w:rPr>
        <w:t>（1）按照金属检验分包合同，每张片单价为58元，按增加4000个焊口数量进行估算，每个焊口按两张片考虑（详见</w:t>
      </w:r>
      <w:r>
        <w:rPr>
          <w:rFonts w:hint="eastAsia" w:ascii="仿宋" w:hAnsi="仿宋" w:eastAsia="仿宋" w:cs="仿宋"/>
          <w:sz w:val="24"/>
          <w:szCs w:val="24"/>
          <w:lang w:val="en-US" w:eastAsia="zh-CN"/>
        </w:rPr>
        <w:t>该项目</w:t>
      </w:r>
      <w:r>
        <w:rPr>
          <w:rFonts w:hint="eastAsia" w:ascii="仿宋" w:hAnsi="仿宋" w:eastAsia="仿宋" w:cs="仿宋"/>
          <w:sz w:val="24"/>
          <w:szCs w:val="24"/>
        </w:rPr>
        <w:t>建筑安装工程技术规范书第46页3.2.3条第2条款的要求），共增加费用46.4万元。</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（2）因焊口增加，造成组合、焊接安装等人工成本增加，某公司和分包单位正在协商中，初步按每台锅炉100万元给予补偿（正在协商中）。</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在不考虑因焊口增加造成起重机械、施工周期延长增加的费用的情况下，上述两项费用施工单位预计增加278.2978万元。详见表5：</w:t>
      </w: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rPr>
      </w:pPr>
      <w:r>
        <w:rPr>
          <w:rFonts w:hint="eastAsia" w:ascii="仿宋" w:hAnsi="仿宋" w:eastAsia="仿宋" w:cs="仿宋"/>
        </w:rPr>
        <w:t>表</w:t>
      </w:r>
      <w:r>
        <w:rPr>
          <w:rFonts w:hint="eastAsia" w:ascii="仿宋" w:hAnsi="仿宋" w:eastAsia="仿宋" w:cs="仿宋"/>
          <w:lang w:val="en-US" w:eastAsia="zh-CN"/>
        </w:rPr>
        <w:t>11</w:t>
      </w:r>
      <w:r>
        <w:rPr>
          <w:rFonts w:hint="eastAsia" w:ascii="仿宋" w:hAnsi="仿宋" w:eastAsia="仿宋" w:cs="仿宋"/>
        </w:rPr>
        <w:t xml:space="preserve"> 单台余热锅炉成本增加情况分析表</w:t>
      </w:r>
    </w:p>
    <w:tbl>
      <w:tblPr>
        <w:tblStyle w:val="9"/>
        <w:tblW w:w="8789" w:type="dxa"/>
        <w:jc w:val="center"/>
        <w:tblInd w:w="0" w:type="dxa"/>
        <w:tblLayout w:type="fixed"/>
        <w:tblCellMar>
          <w:top w:w="15" w:type="dxa"/>
          <w:left w:w="15" w:type="dxa"/>
          <w:bottom w:w="15" w:type="dxa"/>
          <w:right w:w="15" w:type="dxa"/>
        </w:tblCellMar>
      </w:tblPr>
      <w:tblGrid>
        <w:gridCol w:w="1079"/>
        <w:gridCol w:w="3693"/>
        <w:gridCol w:w="2017"/>
        <w:gridCol w:w="2000"/>
      </w:tblGrid>
      <w:tr>
        <w:tblPrEx>
          <w:tblLayout w:type="fixed"/>
          <w:tblCellMar>
            <w:top w:w="15" w:type="dxa"/>
            <w:left w:w="15" w:type="dxa"/>
            <w:bottom w:w="15" w:type="dxa"/>
            <w:right w:w="15" w:type="dxa"/>
          </w:tblCellMar>
        </w:tblPrEx>
        <w:trPr>
          <w:trHeight w:val="435" w:hRule="atLeast"/>
          <w:jc w:val="center"/>
        </w:trPr>
        <w:tc>
          <w:tcPr>
            <w:tcW w:w="107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序号</w:t>
            </w:r>
          </w:p>
        </w:tc>
        <w:tc>
          <w:tcPr>
            <w:tcW w:w="369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项目名称</w:t>
            </w:r>
          </w:p>
        </w:tc>
        <w:tc>
          <w:tcPr>
            <w:tcW w:w="20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单价（元/台套）</w:t>
            </w:r>
          </w:p>
        </w:tc>
        <w:tc>
          <w:tcPr>
            <w:tcW w:w="20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备注</w:t>
            </w:r>
          </w:p>
        </w:tc>
      </w:tr>
      <w:tr>
        <w:tblPrEx>
          <w:tblLayout w:type="fixed"/>
          <w:tblCellMar>
            <w:top w:w="15" w:type="dxa"/>
            <w:left w:w="15" w:type="dxa"/>
            <w:bottom w:w="15" w:type="dxa"/>
            <w:right w:w="15" w:type="dxa"/>
          </w:tblCellMar>
        </w:tblPrEx>
        <w:trPr>
          <w:trHeight w:val="435" w:hRule="atLeast"/>
          <w:jc w:val="center"/>
        </w:trPr>
        <w:tc>
          <w:tcPr>
            <w:tcW w:w="107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一</w:t>
            </w:r>
          </w:p>
        </w:tc>
        <w:tc>
          <w:tcPr>
            <w:tcW w:w="369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单台余热锅炉人工成本分析</w:t>
            </w:r>
          </w:p>
        </w:tc>
        <w:tc>
          <w:tcPr>
            <w:tcW w:w="20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p>
        </w:tc>
        <w:tc>
          <w:tcPr>
            <w:tcW w:w="20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p>
        </w:tc>
      </w:tr>
      <w:tr>
        <w:tblPrEx>
          <w:tblLayout w:type="fixed"/>
          <w:tblCellMar>
            <w:top w:w="15" w:type="dxa"/>
            <w:left w:w="15" w:type="dxa"/>
            <w:bottom w:w="15" w:type="dxa"/>
            <w:right w:w="15" w:type="dxa"/>
          </w:tblCellMar>
        </w:tblPrEx>
        <w:trPr>
          <w:trHeight w:val="4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合同价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61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合同报价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5070893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其中人工费</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sz w:val="18"/>
                <w:szCs w:val="18"/>
              </w:rPr>
              <w:t>2646142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4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分包成本价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4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锅炉分包标段1（扣除焊条和气体50万）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3945200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4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锅炉分包标段2（扣除焊条和气体50万）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3995000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286"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仿宋" w:hAnsi="仿宋" w:eastAsia="仿宋" w:cs="仿宋"/>
                <w:sz w:val="18"/>
                <w:szCs w:val="18"/>
              </w:rPr>
            </w:pPr>
            <w:r>
              <w:rPr>
                <w:rFonts w:hint="eastAsia" w:ascii="仿宋" w:hAnsi="仿宋" w:eastAsia="仿宋" w:cs="仿宋"/>
                <w:sz w:val="18"/>
                <w:szCs w:val="18"/>
              </w:rPr>
              <w:t>加权平均单价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3965120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616"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仿宋" w:hAnsi="仿宋" w:eastAsia="仿宋" w:cs="仿宋"/>
                <w:sz w:val="18"/>
                <w:szCs w:val="18"/>
              </w:rPr>
            </w:pPr>
            <w:r>
              <w:rPr>
                <w:rFonts w:hint="eastAsia" w:ascii="仿宋" w:hAnsi="仿宋" w:eastAsia="仿宋" w:cs="仿宋"/>
                <w:sz w:val="18"/>
                <w:szCs w:val="18"/>
              </w:rPr>
              <w:t>分包合同价相对合同报价人工费增加金额</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jc w:val="center"/>
              <w:textAlignment w:val="center"/>
              <w:rPr>
                <w:rFonts w:hint="eastAsia" w:ascii="仿宋" w:hAnsi="仿宋" w:eastAsia="仿宋" w:cs="仿宋"/>
                <w:sz w:val="18"/>
                <w:szCs w:val="18"/>
              </w:rPr>
            </w:pPr>
            <w:r>
              <w:rPr>
                <w:rFonts w:hint="eastAsia" w:ascii="仿宋" w:hAnsi="仿宋" w:eastAsia="仿宋" w:cs="仿宋"/>
                <w:sz w:val="18"/>
                <w:szCs w:val="18"/>
              </w:rPr>
              <w:t xml:space="preserve">1318978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p>
        </w:tc>
      </w:tr>
      <w:tr>
        <w:tblPrEx>
          <w:tblLayout w:type="fixed"/>
          <w:tblCellMar>
            <w:top w:w="15" w:type="dxa"/>
            <w:left w:w="15" w:type="dxa"/>
            <w:bottom w:w="15" w:type="dxa"/>
            <w:right w:w="15" w:type="dxa"/>
          </w:tblCellMar>
        </w:tblPrEx>
        <w:trPr>
          <w:trHeight w:val="526"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二</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焊口增加造成的费用增加情况</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 xml:space="preserve">1464000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p>
        </w:tc>
      </w:tr>
      <w:tr>
        <w:tblPrEx>
          <w:tblLayout w:type="fixed"/>
          <w:tblCellMar>
            <w:top w:w="15" w:type="dxa"/>
            <w:left w:w="15" w:type="dxa"/>
            <w:bottom w:w="15" w:type="dxa"/>
            <w:right w:w="15" w:type="dxa"/>
          </w:tblCellMar>
        </w:tblPrEx>
        <w:trPr>
          <w:trHeight w:val="8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仿宋" w:hAnsi="仿宋" w:eastAsia="仿宋" w:cs="仿宋"/>
                <w:sz w:val="18"/>
                <w:szCs w:val="18"/>
              </w:rPr>
            </w:pPr>
            <w:r>
              <w:rPr>
                <w:rFonts w:hint="eastAsia" w:ascii="仿宋" w:hAnsi="仿宋" w:eastAsia="仿宋" w:cs="仿宋"/>
                <w:sz w:val="18"/>
                <w:szCs w:val="18"/>
              </w:rPr>
              <w:t>因焊口数增加某公司承诺给分包单位补偿金额</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 xml:space="preserve">1000000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仿宋" w:hAnsi="仿宋" w:eastAsia="仿宋" w:cs="仿宋"/>
                <w:sz w:val="18"/>
                <w:szCs w:val="18"/>
              </w:rPr>
            </w:pPr>
            <w:r>
              <w:rPr>
                <w:rFonts w:hint="eastAsia" w:ascii="仿宋" w:hAnsi="仿宋" w:eastAsia="仿宋" w:cs="仿宋"/>
                <w:sz w:val="18"/>
                <w:szCs w:val="18"/>
              </w:rPr>
              <w:t>据调研了解，目前某公司正在和劳务班组协商中</w:t>
            </w:r>
          </w:p>
        </w:tc>
      </w:tr>
      <w:tr>
        <w:tblPrEx>
          <w:tblLayout w:type="fixed"/>
          <w:tblCellMar>
            <w:top w:w="15" w:type="dxa"/>
            <w:left w:w="15" w:type="dxa"/>
            <w:bottom w:w="15" w:type="dxa"/>
            <w:right w:w="15" w:type="dxa"/>
          </w:tblCellMar>
        </w:tblPrEx>
        <w:trPr>
          <w:trHeight w:val="7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仿宋" w:hAnsi="仿宋" w:eastAsia="仿宋" w:cs="仿宋"/>
                <w:sz w:val="18"/>
                <w:szCs w:val="18"/>
              </w:rPr>
            </w:pPr>
            <w:r>
              <w:rPr>
                <w:rFonts w:hint="eastAsia" w:ascii="仿宋" w:hAnsi="仿宋" w:eastAsia="仿宋" w:cs="仿宋"/>
                <w:sz w:val="18"/>
                <w:szCs w:val="18"/>
              </w:rPr>
              <w:t>因焊口数增加金属检验增加的成本</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 xml:space="preserve">464000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sz w:val="18"/>
                <w:szCs w:val="18"/>
              </w:rPr>
            </w:pPr>
            <w:r>
              <w:rPr>
                <w:rFonts w:hint="eastAsia" w:ascii="仿宋" w:hAnsi="仿宋" w:eastAsia="仿宋" w:cs="仿宋"/>
                <w:sz w:val="18"/>
                <w:szCs w:val="18"/>
              </w:rPr>
              <w:t>按4000焊口估算，每个焊口2张片，单价58元/片</w:t>
            </w:r>
          </w:p>
        </w:tc>
      </w:tr>
      <w:tr>
        <w:tblPrEx>
          <w:tblLayout w:type="fixed"/>
          <w:tblCellMar>
            <w:top w:w="15" w:type="dxa"/>
            <w:left w:w="15" w:type="dxa"/>
            <w:bottom w:w="15" w:type="dxa"/>
            <w:right w:w="15" w:type="dxa"/>
          </w:tblCellMar>
        </w:tblPrEx>
        <w:trPr>
          <w:trHeight w:val="7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三</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r>
              <w:rPr>
                <w:rFonts w:hint="eastAsia" w:ascii="仿宋" w:hAnsi="仿宋" w:eastAsia="仿宋" w:cs="仿宋"/>
                <w:b/>
                <w:bCs/>
                <w:sz w:val="18"/>
                <w:szCs w:val="18"/>
              </w:rPr>
              <w:t>实际预计增加成本</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 xml:space="preserve">2782978 </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
                <w:bCs/>
                <w:sz w:val="18"/>
                <w:szCs w:val="18"/>
              </w:rPr>
            </w:pPr>
          </w:p>
        </w:tc>
      </w:tr>
    </w:tbl>
    <w:p>
      <w:pPr>
        <w:pStyle w:val="3"/>
        <w:keepNext w:val="0"/>
        <w:keepLines w:val="0"/>
        <w:pageBreakBefore w:val="0"/>
        <w:kinsoku/>
        <w:wordWrap/>
        <w:overflowPunct/>
        <w:topLinePunct w:val="0"/>
        <w:autoSpaceDE/>
        <w:autoSpaceDN/>
        <w:bidi w:val="0"/>
        <w:adjustRightInd w:val="0"/>
        <w:snapToGrid w:val="0"/>
        <w:spacing w:line="360" w:lineRule="auto"/>
        <w:ind w:left="0" w:leftChars="0" w:firstLine="422" w:firstLineChars="200"/>
        <w:rPr>
          <w:rFonts w:hint="eastAsia" w:ascii="仿宋" w:hAnsi="仿宋" w:eastAsia="仿宋" w:cs="仿宋"/>
          <w:b/>
          <w:bCs/>
          <w:szCs w:val="32"/>
        </w:rPr>
      </w:pP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、单个焊口单价的测算</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经与现场造价咨询单位沟通，共同认可参考《电力建设焊接专业施工定额》（原电力工业部电力定额站1994年版）中第9册（焊接、热处理、焊缝检验）中86条对应的Φ57×5氩弧焊碳钢材质的定额消耗量，结合当前的市场价水平编制，测算焊口全费用单价为440.62元/道。按主标下浮率17.34%下浮后单价为364.22元/道。</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、调研结论</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某公司合同中余热锅炉焊口技术协议约定单台余热炉本体（除小口径管外）约7000道焊口，而目前实际上单台余热锅炉焊口数量（除小口径管外）为11524道，存在较大偏差。每台余热锅炉增加4524道，增加比例为64.6%。</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2.经初步原因分析，因技术优化和技术创新增加了1554道焊口，因模块化程度低增加3055道焊口，共增加焊口约4609道，基本第1条中4524数据相差不大，如按照模块化供货，预计焊口数会大幅减少。</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3.由于上述焊口大幅增加，导致施工单位的施工成本大幅增加，增加幅度远超出其合理的风险承受能力，情况属实，建议与施工单位协商，对非其责任造成的给予补偿</w:t>
      </w:r>
      <w:r>
        <w:rPr>
          <w:rFonts w:hint="eastAsia" w:ascii="仿宋" w:hAnsi="仿宋" w:eastAsia="仿宋" w:cs="仿宋"/>
          <w:sz w:val="24"/>
          <w:szCs w:val="24"/>
          <w:lang w:eastAsia="zh-CN"/>
        </w:rPr>
        <w:t>。</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咨询其他成果：</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本次全过程咨询服务过程中，我公司还利用BIM技术建立项目模型，协助业务全方位的管理项目，保证了项目的进度、投资控制。同时项目组发挥鲁班算量软件、广联达算量软件算量作用，减少了工程结算中人为因素，缩短了工程结算时间，使工程结算更好更快的完成。</w:t>
      </w: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drawing>
          <wp:inline distT="0" distB="0" distL="114300" distR="114300">
            <wp:extent cx="4548505" cy="3411220"/>
            <wp:effectExtent l="0" t="0" r="10795" b="5080"/>
            <wp:docPr id="4" name="图片 4" descr="IMG_20190625_10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90625_102902"/>
                    <pic:cNvPicPr>
                      <a:picLocks noChangeAspect="1"/>
                    </pic:cNvPicPr>
                  </pic:nvPicPr>
                  <pic:blipFill>
                    <a:blip r:embed="rId6"/>
                    <a:stretch>
                      <a:fillRect/>
                    </a:stretch>
                  </pic:blipFill>
                  <pic:spPr>
                    <a:xfrm>
                      <a:off x="0" y="0"/>
                      <a:ext cx="4548505" cy="3411517"/>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left="0" w:leftChars="0" w:firstLine="1050" w:firstLineChars="500"/>
        <w:rPr>
          <w:rFonts w:hint="eastAsia" w:ascii="仿宋" w:hAnsi="仿宋" w:eastAsia="仿宋" w:cs="仿宋"/>
          <w:kern w:val="0"/>
          <w:sz w:val="24"/>
          <w:szCs w:val="24"/>
        </w:rPr>
      </w:pPr>
      <w:r>
        <w:rPr>
          <w:rFonts w:hint="eastAsia" w:ascii="仿宋" w:hAnsi="仿宋" w:eastAsia="仿宋" w:cs="仿宋"/>
          <w:bCs/>
          <w:kern w:val="0"/>
          <w:szCs w:val="21"/>
        </w:rPr>
        <w:t>图2  综合办公楼鲁班算量软件效果图</w:t>
      </w: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drawing>
          <wp:inline distT="0" distB="0" distL="114300" distR="114300">
            <wp:extent cx="4554855" cy="3416300"/>
            <wp:effectExtent l="0" t="0" r="4445" b="0"/>
            <wp:docPr id="2" name="图片 2" descr="IMG_20190625_10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625_103510"/>
                    <pic:cNvPicPr>
                      <a:picLocks noChangeAspect="1"/>
                    </pic:cNvPicPr>
                  </pic:nvPicPr>
                  <pic:blipFill>
                    <a:blip r:embed="rId7"/>
                    <a:stretch>
                      <a:fillRect/>
                    </a:stretch>
                  </pic:blipFill>
                  <pic:spPr>
                    <a:xfrm>
                      <a:off x="0" y="0"/>
                      <a:ext cx="4554883" cy="3416300"/>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Pr>
          <w:rFonts w:hint="eastAsia" w:ascii="仿宋" w:hAnsi="仿宋" w:eastAsia="仿宋" w:cs="仿宋"/>
          <w:kern w:val="0"/>
          <w:sz w:val="24"/>
          <w:szCs w:val="24"/>
          <w:lang w:val="en-US" w:eastAsia="zh-CN"/>
        </w:rPr>
        <w:sectPr>
          <w:pgSz w:w="11906" w:h="16838"/>
          <w:pgMar w:top="1418" w:right="1358" w:bottom="426" w:left="1588" w:header="851" w:footer="585" w:gutter="0"/>
          <w:pgNumType w:fmt="numberInDash"/>
          <w:cols w:space="720" w:num="1"/>
          <w:docGrid w:type="lines" w:linePitch="435" w:charSpace="0"/>
        </w:sectPr>
      </w:pPr>
      <w:r>
        <w:rPr>
          <w:rFonts w:hint="eastAsia" w:ascii="仿宋" w:hAnsi="仿宋" w:eastAsia="仿宋" w:cs="仿宋"/>
          <w:kern w:val="0"/>
          <w:sz w:val="24"/>
          <w:szCs w:val="24"/>
          <w:lang w:val="en-US" w:eastAsia="zh-CN"/>
        </w:rPr>
        <w:t xml:space="preserve">          </w:t>
      </w:r>
      <w:r>
        <w:rPr>
          <w:rFonts w:hint="eastAsia" w:ascii="仿宋" w:hAnsi="仿宋" w:eastAsia="仿宋" w:cs="仿宋"/>
          <w:bCs/>
          <w:kern w:val="0"/>
          <w:szCs w:val="21"/>
        </w:rPr>
        <w:t>图3  主厂房广联达算量软件效</w:t>
      </w:r>
    </w:p>
    <w:p>
      <w:pPr>
        <w:pStyle w:val="3"/>
        <w:keepNext w:val="0"/>
        <w:keepLines w:val="0"/>
        <w:pageBreakBefore w:val="0"/>
        <w:kinsoku/>
        <w:wordWrap/>
        <w:overflowPunct/>
        <w:topLinePunct w:val="0"/>
        <w:autoSpaceDE/>
        <w:autoSpaceDN/>
        <w:bidi w:val="0"/>
        <w:adjustRightInd w:val="0"/>
        <w:snapToGrid w:val="0"/>
        <w:spacing w:line="360" w:lineRule="auto"/>
        <w:ind w:left="0" w:leftChars="0"/>
        <w:jc w:val="both"/>
        <w:outlineLvl w:val="0"/>
        <w:rPr>
          <w:rFonts w:hint="eastAsia" w:ascii="仿宋" w:hAnsi="仿宋" w:eastAsia="仿宋" w:cs="仿宋"/>
          <w:b/>
          <w:kern w:val="0"/>
          <w:sz w:val="32"/>
          <w:szCs w:val="32"/>
        </w:rPr>
      </w:pPr>
      <w:r>
        <w:rPr>
          <w:rFonts w:hint="eastAsia" w:ascii="仿宋" w:hAnsi="仿宋" w:eastAsia="仿宋" w:cs="仿宋"/>
          <w:b/>
          <w:kern w:val="0"/>
          <w:sz w:val="32"/>
          <w:szCs w:val="32"/>
        </w:rPr>
        <w:t>五、思考和建议</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目前，垃圾分类已经提到了国家的管理层面，将来大量的垃圾处理是人类无法回避的问题，垃圾发电是国家新能源发展的一个方向。我公司全过程跟踪的垃圾发电厂项目是目前全国垃圾处理能力最大、垃圾处理工艺最先进、环境处理最安全的一个案例，将来将会有更多的类似项目需要咨询单位参与，是我们造价咨询公司全过程咨询业务发展的一个突破口。</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该项目有咨询公司和会计师事务所联合全过程咨询，充分发挥了造价咨询公司咨询管理方面的优势，及会计师事务所项目成本的控制优势，通过咨询服务，</w:t>
      </w:r>
      <w:r>
        <w:rPr>
          <w:rFonts w:hint="eastAsia" w:ascii="仿宋" w:hAnsi="仿宋" w:eastAsia="仿宋" w:cs="仿宋"/>
          <w:kern w:val="0"/>
          <w:sz w:val="24"/>
          <w:szCs w:val="24"/>
          <w:lang w:val="en-US" w:eastAsia="zh-CN"/>
        </w:rPr>
        <w:t>业主</w:t>
      </w:r>
      <w:r>
        <w:rPr>
          <w:rFonts w:hint="eastAsia" w:ascii="仿宋" w:hAnsi="仿宋" w:eastAsia="仿宋" w:cs="仿宋"/>
          <w:kern w:val="0"/>
          <w:sz w:val="24"/>
          <w:szCs w:val="24"/>
        </w:rPr>
        <w:t>单位有效的控制了投资成本，通过强化管控提供了项目的实施进展、提高了项目的投资效益；通过全方位预控，预防了生产安全事故的发生，提高了项目的经济效益，会计师事务所的过程介入，减少了项目单位后期的审计风险，降低或规避了项目单位主体的责任风险。同时，有效避免因众多管理关系伴生的贪污风险，有利于规范建筑市场秩序，减少了违法违规的行为。总之，该项目通过委托项目咨询公司和会计师事务所参与，全方面达到了业主的预期目标。</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全过程咨询工作贯穿项目建设的全过程，同时也是建设业主的实际需要，特别是这类大型项目，采用全过程跟踪咨询会达到业主意想不到的结果。</w:t>
      </w:r>
      <w:r>
        <w:rPr>
          <w:rFonts w:hint="eastAsia" w:ascii="仿宋" w:hAnsi="仿宋" w:eastAsia="仿宋" w:cs="仿宋"/>
          <w:kern w:val="0"/>
          <w:sz w:val="24"/>
          <w:szCs w:val="24"/>
          <w:lang w:val="en-US" w:eastAsia="zh-CN"/>
        </w:rPr>
        <w:t>现在全社会都在推广全过程咨询，各个地方对全过程咨询的定义和范围不近统一，</w:t>
      </w:r>
      <w:r>
        <w:rPr>
          <w:rFonts w:hint="eastAsia" w:ascii="仿宋" w:hAnsi="仿宋" w:eastAsia="仿宋" w:cs="仿宋"/>
          <w:kern w:val="0"/>
          <w:sz w:val="24"/>
          <w:szCs w:val="24"/>
        </w:rPr>
        <w:t>但是全过程咨询服务采用何种模式，如何组织，完全取决于需求方，</w:t>
      </w:r>
      <w:r>
        <w:rPr>
          <w:rFonts w:hint="eastAsia" w:ascii="仿宋" w:hAnsi="仿宋" w:eastAsia="仿宋" w:cs="仿宋"/>
          <w:kern w:val="0"/>
          <w:sz w:val="24"/>
          <w:szCs w:val="24"/>
          <w:lang w:val="en-US" w:eastAsia="zh-CN"/>
        </w:rPr>
        <w:t>该项目由</w:t>
      </w:r>
      <w:r>
        <w:rPr>
          <w:rFonts w:hint="eastAsia" w:ascii="仿宋" w:hAnsi="仿宋" w:eastAsia="仿宋" w:cs="仿宋"/>
          <w:kern w:val="0"/>
          <w:sz w:val="24"/>
          <w:szCs w:val="24"/>
        </w:rPr>
        <w:t>项目咨询+财务咨询目前看来对政府资金、国有企业资金是有优势的。未来的全过程咨询服务工作会呈现多元化发展。建议咨询业顺应建筑行业发展趋势，分行业、分类型，逐步建立全过程咨询管理的案例库和技术经济指标信息库，提高咨询工作的效率与质量</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为委托单位提供真正意义上的全过程咨询，为业主的投资创造最大的效益</w:t>
      </w:r>
      <w:r>
        <w:rPr>
          <w:rFonts w:hint="eastAsia" w:ascii="仿宋" w:hAnsi="仿宋" w:eastAsia="仿宋" w:cs="仿宋"/>
          <w:kern w:val="0"/>
          <w:sz w:val="24"/>
          <w:szCs w:val="24"/>
        </w:rPr>
        <w:t>。</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kern w:val="0"/>
          <w:sz w:val="24"/>
          <w:szCs w:val="24"/>
        </w:rPr>
      </w:pPr>
    </w:p>
    <w:p>
      <w:pPr>
        <w:keepNext w:val="0"/>
        <w:keepLines w:val="0"/>
        <w:pageBreakBefore w:val="0"/>
        <w:tabs>
          <w:tab w:val="left" w:pos="1611"/>
        </w:tabs>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kern w:val="0"/>
          <w:sz w:val="24"/>
          <w:szCs w:val="24"/>
        </w:rPr>
      </w:pPr>
    </w:p>
    <w:p>
      <w:pPr>
        <w:keepNext w:val="0"/>
        <w:keepLines w:val="0"/>
        <w:pageBreakBefore w:val="0"/>
        <w:tabs>
          <w:tab w:val="left" w:pos="1611"/>
        </w:tabs>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kern w:val="0"/>
          <w:sz w:val="24"/>
          <w:szCs w:val="24"/>
        </w:rPr>
      </w:pPr>
    </w:p>
    <w:p>
      <w:pPr>
        <w:keepNext w:val="0"/>
        <w:keepLines w:val="0"/>
        <w:pageBreakBefore w:val="0"/>
        <w:tabs>
          <w:tab w:val="left" w:pos="1611"/>
        </w:tabs>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bCs/>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 o:spid="_x0000_s2049"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78ADE"/>
    <w:multiLevelType w:val="singleLevel"/>
    <w:tmpl w:val="CE178ADE"/>
    <w:lvl w:ilvl="0" w:tentative="0">
      <w:start w:val="1"/>
      <w:numFmt w:val="decimal"/>
      <w:suff w:val="nothing"/>
      <w:lvlText w:val="%1、"/>
      <w:lvlJc w:val="left"/>
    </w:lvl>
  </w:abstractNum>
  <w:abstractNum w:abstractNumId="1">
    <w:nsid w:val="CE78817F"/>
    <w:multiLevelType w:val="singleLevel"/>
    <w:tmpl w:val="CE78817F"/>
    <w:lvl w:ilvl="0" w:tentative="0">
      <w:start w:val="2"/>
      <w:numFmt w:val="chineseCounting"/>
      <w:suff w:val="nothing"/>
      <w:lvlText w:val="%1、"/>
      <w:lvlJc w:val="left"/>
      <w:rPr>
        <w:rFonts w:hint="eastAsia"/>
      </w:rPr>
    </w:lvl>
  </w:abstractNum>
  <w:abstractNum w:abstractNumId="2">
    <w:nsid w:val="ECA44E0C"/>
    <w:multiLevelType w:val="singleLevel"/>
    <w:tmpl w:val="ECA44E0C"/>
    <w:lvl w:ilvl="0" w:tentative="0">
      <w:start w:val="2"/>
      <w:numFmt w:val="decimal"/>
      <w:lvlText w:val="%1."/>
      <w:lvlJc w:val="left"/>
      <w:pPr>
        <w:tabs>
          <w:tab w:val="left" w:pos="312"/>
        </w:tabs>
      </w:pPr>
    </w:lvl>
  </w:abstractNum>
  <w:abstractNum w:abstractNumId="3">
    <w:nsid w:val="4CF32014"/>
    <w:multiLevelType w:val="singleLevel"/>
    <w:tmpl w:val="4CF3201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A7641"/>
    <w:rsid w:val="000122A7"/>
    <w:rsid w:val="00156150"/>
    <w:rsid w:val="00173640"/>
    <w:rsid w:val="0020294A"/>
    <w:rsid w:val="00377DE9"/>
    <w:rsid w:val="003D3629"/>
    <w:rsid w:val="0040272E"/>
    <w:rsid w:val="00403DE5"/>
    <w:rsid w:val="004B200D"/>
    <w:rsid w:val="004B308F"/>
    <w:rsid w:val="00522D8D"/>
    <w:rsid w:val="00567C1B"/>
    <w:rsid w:val="005942AB"/>
    <w:rsid w:val="005E16CB"/>
    <w:rsid w:val="006303A1"/>
    <w:rsid w:val="00677985"/>
    <w:rsid w:val="0075587B"/>
    <w:rsid w:val="007A7641"/>
    <w:rsid w:val="007F6B56"/>
    <w:rsid w:val="00856EC1"/>
    <w:rsid w:val="00874B56"/>
    <w:rsid w:val="00924815"/>
    <w:rsid w:val="009F652A"/>
    <w:rsid w:val="00A06E3B"/>
    <w:rsid w:val="00A167B6"/>
    <w:rsid w:val="00A43734"/>
    <w:rsid w:val="00A65DA8"/>
    <w:rsid w:val="00A935D3"/>
    <w:rsid w:val="00AD3003"/>
    <w:rsid w:val="00B46297"/>
    <w:rsid w:val="00BC163A"/>
    <w:rsid w:val="00C10BA3"/>
    <w:rsid w:val="00C86894"/>
    <w:rsid w:val="00CB025F"/>
    <w:rsid w:val="00D033D1"/>
    <w:rsid w:val="00DE31EB"/>
    <w:rsid w:val="00E42F72"/>
    <w:rsid w:val="00E94FFD"/>
    <w:rsid w:val="00EE6810"/>
    <w:rsid w:val="00F45CBF"/>
    <w:rsid w:val="00FA1177"/>
    <w:rsid w:val="0AF73E86"/>
    <w:rsid w:val="1160589B"/>
    <w:rsid w:val="12E12C0C"/>
    <w:rsid w:val="15CF5BC3"/>
    <w:rsid w:val="16A902DE"/>
    <w:rsid w:val="1E807EBC"/>
    <w:rsid w:val="24E842C9"/>
    <w:rsid w:val="25A92AE1"/>
    <w:rsid w:val="28E95909"/>
    <w:rsid w:val="2A4E3B35"/>
    <w:rsid w:val="2F7A21DB"/>
    <w:rsid w:val="2FA17C4F"/>
    <w:rsid w:val="2FD55791"/>
    <w:rsid w:val="3649441F"/>
    <w:rsid w:val="39155BFC"/>
    <w:rsid w:val="421116C4"/>
    <w:rsid w:val="45033730"/>
    <w:rsid w:val="48C9361D"/>
    <w:rsid w:val="4C506A95"/>
    <w:rsid w:val="50014D3C"/>
    <w:rsid w:val="54537710"/>
    <w:rsid w:val="55EF79D9"/>
    <w:rsid w:val="57F20703"/>
    <w:rsid w:val="5903360D"/>
    <w:rsid w:val="618F7838"/>
    <w:rsid w:val="66417987"/>
    <w:rsid w:val="686A04A4"/>
    <w:rsid w:val="6B71623D"/>
    <w:rsid w:val="6D592608"/>
    <w:rsid w:val="6DA6570B"/>
    <w:rsid w:val="78340055"/>
    <w:rsid w:val="7D116CF1"/>
    <w:rsid w:val="7E3C4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64"/>
        <o:r id="V:Rule2" type="connector" idref="#_x0000_s1065"/>
        <o:r id="V:Rule3" type="connector" idref="#_x0000_s1066"/>
        <o:r id="V:Rule4" type="connector" idref="#_x0000_s1067"/>
        <o:r id="V:Rule5" type="connector" idref="#_x0000_s1068"/>
        <o:r id="V:Rule6" type="connector" idref="#_x0000_s1069"/>
        <o:r id="V:Rule7" type="connector" idref="#_x0000_s1070"/>
        <o:r id="V:Rule8" type="connector" idref="#_x0000_s107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1"/>
    <w:semiHidden/>
    <w:unhideWhenUsed/>
    <w:uiPriority w:val="99"/>
    <w:rPr>
      <w:rFonts w:ascii="宋体" w:eastAsia="宋体"/>
      <w:sz w:val="18"/>
      <w:szCs w:val="18"/>
    </w:rPr>
  </w:style>
  <w:style w:type="paragraph" w:styleId="3">
    <w:name w:val="Plain Text"/>
    <w:basedOn w:val="1"/>
    <w:qFormat/>
    <w:uiPriority w:val="0"/>
    <w:rPr>
      <w:rFonts w:ascii="宋体" w:hAnsi="Courier New" w:eastAsia="宋体" w:cs="Courier New"/>
      <w:szCs w:val="21"/>
    </w:rPr>
  </w:style>
  <w:style w:type="paragraph" w:styleId="4">
    <w:name w:val="Date"/>
    <w:basedOn w:val="1"/>
    <w:next w:val="1"/>
    <w:link w:val="20"/>
    <w:semiHidden/>
    <w:unhideWhenUsed/>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rPr>
  </w:style>
  <w:style w:type="paragraph" w:styleId="13">
    <w:name w:val="List Paragraph"/>
    <w:basedOn w:val="1"/>
    <w:qFormat/>
    <w:uiPriority w:val="34"/>
    <w:pPr>
      <w:ind w:firstLine="420" w:firstLineChars="200"/>
    </w:pPr>
  </w:style>
  <w:style w:type="character" w:customStyle="1" w:styleId="14">
    <w:name w:val="批注框文本 Char"/>
    <w:basedOn w:val="11"/>
    <w:link w:val="5"/>
    <w:semiHidden/>
    <w:qFormat/>
    <w:uiPriority w:val="99"/>
    <w:rPr>
      <w:sz w:val="18"/>
      <w:szCs w:val="18"/>
    </w:rPr>
  </w:style>
  <w:style w:type="character" w:customStyle="1" w:styleId="15">
    <w:name w:val="页眉 Char"/>
    <w:basedOn w:val="11"/>
    <w:link w:val="7"/>
    <w:qFormat/>
    <w:uiPriority w:val="99"/>
    <w:rPr>
      <w:kern w:val="2"/>
      <w:sz w:val="18"/>
      <w:szCs w:val="18"/>
    </w:rPr>
  </w:style>
  <w:style w:type="character" w:customStyle="1" w:styleId="16">
    <w:name w:val="页脚 Char"/>
    <w:basedOn w:val="11"/>
    <w:link w:val="6"/>
    <w:qFormat/>
    <w:uiPriority w:val="99"/>
    <w:rPr>
      <w:kern w:val="2"/>
      <w:sz w:val="18"/>
      <w:szCs w:val="18"/>
    </w:rPr>
  </w:style>
  <w:style w:type="paragraph" w:customStyle="1" w:styleId="17">
    <w:name w:val="列出段落1"/>
    <w:basedOn w:val="1"/>
    <w:qFormat/>
    <w:uiPriority w:val="99"/>
    <w:pPr>
      <w:ind w:firstLine="420" w:firstLineChars="200"/>
    </w:pPr>
  </w:style>
  <w:style w:type="character" w:customStyle="1" w:styleId="18">
    <w:name w:val="font101"/>
    <w:basedOn w:val="11"/>
    <w:qFormat/>
    <w:uiPriority w:val="0"/>
    <w:rPr>
      <w:rFonts w:hint="eastAsia" w:ascii="宋体" w:hAnsi="宋体" w:eastAsia="宋体" w:cs="宋体"/>
      <w:color w:val="000000"/>
      <w:sz w:val="16"/>
      <w:szCs w:val="16"/>
      <w:u w:val="none"/>
    </w:rPr>
  </w:style>
  <w:style w:type="character" w:customStyle="1" w:styleId="19">
    <w:name w:val="font51"/>
    <w:basedOn w:val="11"/>
    <w:qFormat/>
    <w:uiPriority w:val="0"/>
    <w:rPr>
      <w:rFonts w:hint="default" w:ascii="Times New Roman" w:hAnsi="Times New Roman" w:cs="Times New Roman"/>
      <w:color w:val="000000"/>
      <w:sz w:val="16"/>
      <w:szCs w:val="16"/>
      <w:u w:val="none"/>
    </w:rPr>
  </w:style>
  <w:style w:type="character" w:customStyle="1" w:styleId="20">
    <w:name w:val="日期 Char"/>
    <w:basedOn w:val="11"/>
    <w:link w:val="4"/>
    <w:semiHidden/>
    <w:qFormat/>
    <w:uiPriority w:val="99"/>
    <w:rPr>
      <w:rFonts w:asciiTheme="minorHAnsi" w:hAnsiTheme="minorHAnsi" w:eastAsiaTheme="minorEastAsia" w:cstheme="minorBidi"/>
      <w:kern w:val="2"/>
      <w:sz w:val="21"/>
      <w:szCs w:val="22"/>
    </w:rPr>
  </w:style>
  <w:style w:type="character" w:customStyle="1" w:styleId="21">
    <w:name w:val="文档结构图 Char"/>
    <w:basedOn w:val="11"/>
    <w:link w:val="2"/>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sb\Desktop\&#28145;&#22323;&#24314;&#35774;&#24037;&#31243;&#20449;&#24687;&#20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10mm</a:t>
            </a:r>
            <a:r>
              <a:rPr altLang="en-US"/>
              <a:t>厚</a:t>
            </a:r>
            <a:r>
              <a:rPr lang="en-US" altLang="zh-CN"/>
              <a:t>Q235</a:t>
            </a:r>
            <a:r>
              <a:rPr altLang="en-US"/>
              <a:t>钢板市场价格波动曲线图</a:t>
            </a:r>
            <a:endParaRPr lang="en-US" altLang="zh-CN"/>
          </a:p>
        </c:rich>
      </c:tx>
      <c:layout/>
      <c:overlay val="0"/>
      <c:spPr>
        <a:noFill/>
        <a:ln>
          <a:noFill/>
        </a:ln>
        <a:effectLst/>
      </c:spPr>
    </c:title>
    <c:autoTitleDeleted val="0"/>
    <c:plotArea>
      <c:layout/>
      <c:lineChart>
        <c:grouping val="standard"/>
        <c:varyColors val="0"/>
        <c:ser>
          <c:idx val="0"/>
          <c:order val="0"/>
          <c:spPr>
            <a:ln w="28575" cap="rnd" cmpd="sng" algn="ctr">
              <a:solidFill>
                <a:srgbClr val="5B9BD5"/>
              </a:solidFill>
              <a:prstDash val="solid"/>
              <a:round/>
            </a:ln>
            <a:effectLst/>
          </c:spPr>
          <c:marker>
            <c:symbol val="none"/>
          </c:marker>
          <c:dLbls>
            <c:dLbl>
              <c:idx val="0"/>
              <c:delete val="1"/>
            </c:dLbl>
            <c:dLbl>
              <c:idx val="1"/>
              <c:layout/>
              <c:dLblPos val="r"/>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layout/>
              <c:dLblPos val="r"/>
              <c:showLegendKey val="0"/>
              <c:showVal val="1"/>
              <c:showCatName val="0"/>
              <c:showSerName val="0"/>
              <c:showPercent val="0"/>
              <c:showBubbleSize val="0"/>
              <c:extLst>
                <c:ext xmlns:c15="http://schemas.microsoft.com/office/drawing/2012/chart" uri="{CE6537A1-D6FC-4f65-9D91-7224C49458BB}"/>
              </c:extLst>
            </c:dLbl>
            <c:dLbl>
              <c:idx val="16"/>
              <c:delete val="1"/>
            </c:dLbl>
            <c:dLbl>
              <c:idx val="17"/>
              <c:delete val="1"/>
            </c:dLbl>
            <c:dLbl>
              <c:idx val="18"/>
              <c:delete val="1"/>
            </c:dLbl>
            <c:dLbl>
              <c:idx val="19"/>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[深圳建设工程信息价.xlsx]Sheet1!$D$4:$W$4</c:f>
              <c:strCache>
                <c:ptCount val="20"/>
                <c:pt idx="0">
                  <c:v>2017年第2期
</c:v>
                </c:pt>
                <c:pt idx="1">
                  <c:v>2017年第3期
</c:v>
                </c:pt>
                <c:pt idx="2">
                  <c:v>2017年第4期
</c:v>
                </c:pt>
                <c:pt idx="3">
                  <c:v>2017年第5期
</c:v>
                </c:pt>
                <c:pt idx="4">
                  <c:v>2017年第6期
</c:v>
                </c:pt>
                <c:pt idx="5">
                  <c:v>2017年第7期
</c:v>
                </c:pt>
                <c:pt idx="6">
                  <c:v>2017年第8期
</c:v>
                </c:pt>
                <c:pt idx="7">
                  <c:v>2017年第9期
</c:v>
                </c:pt>
                <c:pt idx="8">
                  <c:v>2017年第10期
</c:v>
                </c:pt>
                <c:pt idx="9">
                  <c:v>2017年第11期
</c:v>
                </c:pt>
                <c:pt idx="10">
                  <c:v>2017年第12期
</c:v>
                </c:pt>
                <c:pt idx="11">
                  <c:v>2018年第1期
</c:v>
                </c:pt>
                <c:pt idx="12">
                  <c:v>2018年1月
</c:v>
                </c:pt>
                <c:pt idx="13">
                  <c:v>2018年2月
</c:v>
                </c:pt>
                <c:pt idx="14">
                  <c:v>2018年3月
</c:v>
                </c:pt>
                <c:pt idx="15">
                  <c:v>2018年4月
</c:v>
                </c:pt>
                <c:pt idx="16">
                  <c:v>2018年5月
</c:v>
                </c:pt>
                <c:pt idx="17">
                  <c:v>2018年6月
</c:v>
                </c:pt>
                <c:pt idx="18">
                  <c:v>2018年7月
</c:v>
                </c:pt>
                <c:pt idx="19">
                  <c:v>2018年8月
</c:v>
                </c:pt>
              </c:strCache>
            </c:strRef>
          </c:cat>
          <c:val>
            <c:numRef>
              <c:f>[深圳建设工程信息价.xlsx]Sheet1!$D$5:$W$5</c:f>
              <c:numCache>
                <c:formatCode>0.00_ </c:formatCode>
                <c:ptCount val="20"/>
                <c:pt idx="0">
                  <c:v>4310</c:v>
                </c:pt>
                <c:pt idx="1">
                  <c:v>4370</c:v>
                </c:pt>
                <c:pt idx="2">
                  <c:v>4480</c:v>
                </c:pt>
                <c:pt idx="3">
                  <c:v>4190</c:v>
                </c:pt>
                <c:pt idx="4">
                  <c:v>4190</c:v>
                </c:pt>
                <c:pt idx="5">
                  <c:v>4230</c:v>
                </c:pt>
                <c:pt idx="6">
                  <c:v>4370</c:v>
                </c:pt>
                <c:pt idx="7">
                  <c:v>4750</c:v>
                </c:pt>
                <c:pt idx="8">
                  <c:v>5100</c:v>
                </c:pt>
                <c:pt idx="9">
                  <c:v>5140</c:v>
                </c:pt>
                <c:pt idx="10">
                  <c:v>5204</c:v>
                </c:pt>
                <c:pt idx="11">
                  <c:v>5456</c:v>
                </c:pt>
                <c:pt idx="12">
                  <c:v>5140</c:v>
                </c:pt>
                <c:pt idx="13">
                  <c:v>5023</c:v>
                </c:pt>
                <c:pt idx="14">
                  <c:v>5210</c:v>
                </c:pt>
                <c:pt idx="15">
                  <c:v>5165</c:v>
                </c:pt>
                <c:pt idx="16">
                  <c:v>5349</c:v>
                </c:pt>
                <c:pt idx="17">
                  <c:v>5299</c:v>
                </c:pt>
                <c:pt idx="18" c:formatCode="General">
                  <c:v>5207</c:v>
                </c:pt>
                <c:pt idx="19" c:formatCode="General">
                  <c:v>5360</c:v>
                </c:pt>
              </c:numCache>
            </c:numRef>
          </c:val>
          <c:smooth val="0"/>
        </c:ser>
        <c:dLbls>
          <c:showLegendKey val="0"/>
          <c:showVal val="0"/>
          <c:showCatName val="0"/>
          <c:showSerName val="0"/>
          <c:showPercent val="0"/>
          <c:showBubbleSize val="0"/>
        </c:dLbls>
        <c:marker val="0"/>
        <c:smooth val="0"/>
        <c:axId val="316393728"/>
        <c:axId val="316498304"/>
      </c:lineChart>
      <c:catAx>
        <c:axId val="316393728"/>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16498304"/>
        <c:crosses val="autoZero"/>
        <c:auto val="1"/>
        <c:lblAlgn val="ctr"/>
        <c:lblOffset val="100"/>
        <c:noMultiLvlLbl val="0"/>
      </c:catAx>
      <c:valAx>
        <c:axId val="31649830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16393728"/>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50"/>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4"/>
    <customShpInfo spid="_x0000_s1065"/>
    <customShpInfo spid="_x0000_s1066"/>
    <customShpInfo spid="_x0000_s1067"/>
    <customShpInfo spid="_x0000_s1068"/>
    <customShpInfo spid="_x0000_s1069"/>
    <customShpInfo spid="_x0000_s1070"/>
    <customShpInfo spid="_x0000_s1071"/>
    <customShpInfo spid="_x0000_s1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7AEC8-FBE9-493F-A19E-B6863543871E}">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3440</Words>
  <Characters>19612</Characters>
  <Lines>163</Lines>
  <Paragraphs>46</Paragraphs>
  <TotalTime>38</TotalTime>
  <ScaleCrop>false</ScaleCrop>
  <LinksUpToDate>false</LinksUpToDate>
  <CharactersWithSpaces>23006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2019-06-13T04:04:00Z</dcterms:created>
  <dc:creator>Windows 用户</dc:creator>
  <cp:lastModifiedBy>星空云</cp:lastModifiedBy>
  <dcterms:modified xsi:type="dcterms:W3CDTF">2019-06-27T06:03:42Z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